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A1" w:rsidRPr="00C134A1" w:rsidRDefault="00C134A1" w:rsidP="00C134A1">
      <w:pPr>
        <w:spacing w:before="161" w:after="161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778899"/>
          <w:kern w:val="36"/>
          <w:sz w:val="40"/>
          <w:szCs w:val="40"/>
          <w:lang w:eastAsia="ru-RU"/>
        </w:rPr>
      </w:pPr>
      <w:r w:rsidRPr="00C134A1">
        <w:rPr>
          <w:rFonts w:ascii="Trebuchet MS" w:eastAsia="Times New Roman" w:hAnsi="Trebuchet MS" w:cs="Times New Roman"/>
          <w:b/>
          <w:bCs/>
          <w:color w:val="778899"/>
          <w:kern w:val="36"/>
          <w:sz w:val="40"/>
          <w:szCs w:val="40"/>
          <w:lang w:eastAsia="ru-RU"/>
        </w:rPr>
        <w:t xml:space="preserve">Инструкция по устройству </w:t>
      </w:r>
      <w:proofErr w:type="spellStart"/>
      <w:r w:rsidRPr="00C134A1">
        <w:rPr>
          <w:rFonts w:ascii="Trebuchet MS" w:eastAsia="Times New Roman" w:hAnsi="Trebuchet MS" w:cs="Times New Roman"/>
          <w:b/>
          <w:bCs/>
          <w:color w:val="778899"/>
          <w:kern w:val="36"/>
          <w:sz w:val="40"/>
          <w:szCs w:val="40"/>
          <w:lang w:eastAsia="ru-RU"/>
        </w:rPr>
        <w:t>молниезащиты</w:t>
      </w:r>
      <w:proofErr w:type="spellEnd"/>
      <w:r w:rsidRPr="00C134A1">
        <w:rPr>
          <w:rFonts w:ascii="Trebuchet MS" w:eastAsia="Times New Roman" w:hAnsi="Trebuchet MS" w:cs="Times New Roman"/>
          <w:b/>
          <w:bCs/>
          <w:color w:val="778899"/>
          <w:kern w:val="36"/>
          <w:sz w:val="40"/>
          <w:szCs w:val="40"/>
          <w:lang w:eastAsia="ru-RU"/>
        </w:rPr>
        <w:t xml:space="preserve"> зданий и сооружений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Разработчик Государственный научно-исследовательский энергетический институт им. Г.М. Кржижановского</w:t>
      </w:r>
    </w:p>
    <w:p w:rsidR="00C134A1" w:rsidRPr="00C134A1" w:rsidRDefault="00C134A1" w:rsidP="00C134A1">
      <w:pPr>
        <w:spacing w:before="199" w:after="199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778899"/>
          <w:sz w:val="30"/>
          <w:szCs w:val="30"/>
          <w:lang w:eastAsia="ru-RU"/>
        </w:rPr>
      </w:pPr>
      <w:r w:rsidRPr="00C134A1">
        <w:rPr>
          <w:rFonts w:ascii="Trebuchet MS" w:eastAsia="Times New Roman" w:hAnsi="Trebuchet MS" w:cs="Times New Roman"/>
          <w:color w:val="778899"/>
          <w:sz w:val="30"/>
          <w:szCs w:val="30"/>
          <w:lang w:eastAsia="ru-RU"/>
        </w:rPr>
        <w:t xml:space="preserve">Инструкция по устройству </w:t>
      </w:r>
      <w:proofErr w:type="spellStart"/>
      <w:r w:rsidRPr="00C134A1">
        <w:rPr>
          <w:rFonts w:ascii="Trebuchet MS" w:eastAsia="Times New Roman" w:hAnsi="Trebuchet MS" w:cs="Times New Roman"/>
          <w:color w:val="778899"/>
          <w:sz w:val="30"/>
          <w:szCs w:val="30"/>
          <w:lang w:eastAsia="ru-RU"/>
        </w:rPr>
        <w:t>молниезащиты</w:t>
      </w:r>
      <w:proofErr w:type="spellEnd"/>
      <w:r w:rsidRPr="00C134A1">
        <w:rPr>
          <w:rFonts w:ascii="Trebuchet MS" w:eastAsia="Times New Roman" w:hAnsi="Trebuchet MS" w:cs="Times New Roman"/>
          <w:color w:val="778899"/>
          <w:sz w:val="30"/>
          <w:szCs w:val="30"/>
          <w:lang w:eastAsia="ru-RU"/>
        </w:rPr>
        <w:t xml:space="preserve"> зданий и сооружений. РД 34.21.122-87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Инструкция устанавливает комплекс мероприятий и устрой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ств дл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я обеспечения безопасности людей (сельскохозяйственных животных), предохранения зданий, сооружений, оборудования и материалов от взрывов, пожаров, разрушений при воздействии молнии. Инструкция обязательна для всех министерств и ведомств.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Предназначена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для специалистов, проектирующих здания и сооружения.</w:t>
      </w:r>
    </w:p>
    <w:p w:rsidR="00C134A1" w:rsidRPr="00C134A1" w:rsidRDefault="00C134A1" w:rsidP="00C134A1">
      <w:pPr>
        <w:spacing w:before="199" w:after="199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778899"/>
          <w:sz w:val="30"/>
          <w:szCs w:val="30"/>
          <w:lang w:eastAsia="ru-RU"/>
        </w:rPr>
      </w:pPr>
      <w:r w:rsidRPr="00C134A1">
        <w:rPr>
          <w:rFonts w:ascii="Trebuchet MS" w:eastAsia="Times New Roman" w:hAnsi="Trebuchet MS" w:cs="Times New Roman"/>
          <w:b/>
          <w:bCs/>
          <w:color w:val="778899"/>
          <w:sz w:val="30"/>
          <w:szCs w:val="30"/>
          <w:lang w:eastAsia="ru-RU"/>
        </w:rPr>
        <w:t>ПРЕДИСЛОВИЕ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Требования настоящей Инструкции обязательны для выполнения всеми министерствами и ведомствами.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Инструкция устанавливает необходимый комплекс мероприятий и устройств, предназначенных для обеспечения безопасности людей (сельскохозяйственных животных), предохранения зданий, сооружений, оборудования и материалов от взрывов, пожаров и разрушений, возможных при воздействиях молнии.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Инструкция должна соблюдаться при разработке проектов зданий и сооружений.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Инструкция не распространяется на проектирование и устройство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молниезащиты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линий электропередачи, электрической части электростанций и подстанций, контактных сетей, радио- и телевизионных антенн, телеграфных, телефонных и радиотрансляционных линий, а также зданий и сооружений, эксплуатация которых связана с применением, производством или хранением пороха и взрывчатых веществ.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Настоящая Инструкция регламентирует мероприятия по молниезащите, выполняемые при строительстве, и не исключает использования дополнительных средств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молниезащиты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внутри здания и сооружения при проведении реконструкции или установке дополнительного технологического или электрического оборудования.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При разработке проектов зданий и сооружений помимо требований Инструкции должны быть учтены требования к выполнению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молниезащиты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других действующих норм, правил, инструкций, государственных стандартов.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С введением в действие настоящей Инструкции утрачивает силу "Инструкция по проектированию и устройству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молниезащиты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зданий и сооружений" СН 305-77.</w:t>
      </w:r>
    </w:p>
    <w:p w:rsidR="00C134A1" w:rsidRPr="00C134A1" w:rsidRDefault="00C134A1" w:rsidP="00C134A1">
      <w:pPr>
        <w:spacing w:before="199" w:after="199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778899"/>
          <w:sz w:val="30"/>
          <w:szCs w:val="30"/>
          <w:lang w:eastAsia="ru-RU"/>
        </w:rPr>
      </w:pPr>
      <w:r w:rsidRPr="00C134A1">
        <w:rPr>
          <w:rFonts w:ascii="Trebuchet MS" w:eastAsia="Times New Roman" w:hAnsi="Trebuchet MS" w:cs="Times New Roman"/>
          <w:color w:val="778899"/>
          <w:sz w:val="30"/>
          <w:szCs w:val="30"/>
          <w:lang w:eastAsia="ru-RU"/>
        </w:rPr>
        <w:t>1. ОБЩИЕ ПОЛОЖЕНИЯ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1.1. В соответствии с назначением зданий и сооружений необходимость выполнения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молниезащиты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и ее категория, а при использовании стержневых и тросовых молниеотводов — тип зоны защиты определяются по табл. 1 в зависимости от среднегодовой продолжительности гроз в месте нахождения здания или сооружения, а также от ожидаемого количества поражений его молнией в год. Устройство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молниезащиты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обязательно при одновременном выполнении условий, записанных в графах 3 и 4 табл. 1.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lastRenderedPageBreak/>
        <w:t xml:space="preserve">Оценка среднегодовой продолжительности гроз и ожидаемого количества поражений молнией зданий или сооружений производится согласно приложению 2; построение зон защиты различных типов — согласно приложению 3. 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Таблица I</w:t>
      </w:r>
    </w:p>
    <w:tbl>
      <w:tblPr>
        <w:tblW w:w="0" w:type="auto"/>
        <w:jc w:val="center"/>
        <w:tblCellSpacing w:w="7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2661"/>
        <w:gridCol w:w="2354"/>
        <w:gridCol w:w="2121"/>
        <w:gridCol w:w="1853"/>
      </w:tblGrid>
      <w:tr w:rsidR="00C134A1" w:rsidRPr="00C134A1" w:rsidTr="00C134A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DDDDDD"/>
            <w:vAlign w:val="center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134A1"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  <w:t>пп</w:t>
            </w:r>
            <w:proofErr w:type="spellEnd"/>
            <w:r w:rsidRPr="00C134A1"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DDDDDD"/>
            <w:vAlign w:val="center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DDDDDD"/>
            <w:vAlign w:val="center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DDDDDD"/>
            <w:vAlign w:val="center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  <w:t>Тип зоны защиты при использовании стержневых и тросовых молниеотводов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DDDDDD"/>
            <w:vAlign w:val="center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  <w:t xml:space="preserve">Категория </w:t>
            </w:r>
            <w:proofErr w:type="spellStart"/>
            <w:r w:rsidRPr="00C134A1"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  <w:t>молниезащиты</w:t>
            </w:r>
            <w:proofErr w:type="spellEnd"/>
          </w:p>
        </w:tc>
      </w:tr>
      <w:tr w:rsidR="00C134A1" w:rsidRPr="00C134A1" w:rsidTr="00C134A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DDDDDD"/>
            <w:vAlign w:val="center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DDDDDD"/>
            <w:vAlign w:val="center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DDDDDD"/>
            <w:vAlign w:val="center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DDDDDD"/>
            <w:vAlign w:val="center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DDDDDD"/>
            <w:vAlign w:val="center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  <w:t>5</w:t>
            </w:r>
          </w:p>
        </w:tc>
      </w:tr>
      <w:tr w:rsidR="00C134A1" w:rsidRPr="00C134A1" w:rsidTr="00C134A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Здания и соору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жения или их части, помещения которых согласно ПУЭ отно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сятся к зонам клас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сов В-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I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В</w:t>
            </w:r>
            <w:proofErr w:type="gramEnd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-II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На всей тер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ритории СССР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Зона</w:t>
            </w:r>
            <w:proofErr w:type="gram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I</w:t>
            </w:r>
          </w:p>
        </w:tc>
      </w:tr>
      <w:tr w:rsidR="00C134A1" w:rsidRPr="00C134A1" w:rsidTr="00C134A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То же классов </w:t>
            </w:r>
            <w:proofErr w:type="spell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В-</w:t>
            </w:r>
            <w:proofErr w:type="gram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I</w:t>
            </w:r>
            <w:proofErr w:type="gramEnd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а</w:t>
            </w:r>
            <w:proofErr w:type="spellEnd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В-Iб</w:t>
            </w:r>
            <w:proofErr w:type="spellEnd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В-IIа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В местностях со средней про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должитель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ностью гроз 10 ч в год и более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При ожидаемом количестве поражений молнией в год здания или соору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 xml:space="preserve">жения 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N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&gt;1 — зона</w:t>
            </w:r>
            <w:proofErr w:type="gram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; при 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N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&lt;=1 — зона Б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II</w:t>
            </w:r>
          </w:p>
        </w:tc>
      </w:tr>
      <w:tr w:rsidR="00C134A1" w:rsidRPr="00C134A1" w:rsidTr="00C134A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Наружные уста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новки, создающие согласно ПУЭ зону класса В-</w:t>
            </w:r>
            <w:proofErr w:type="gram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I</w:t>
            </w:r>
            <w:proofErr w:type="gramEnd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На всей тер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ритории СССР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Зона</w:t>
            </w:r>
            <w:proofErr w:type="gram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II</w:t>
            </w:r>
          </w:p>
        </w:tc>
      </w:tr>
      <w:tr w:rsidR="00C134A1" w:rsidRPr="00C134A1" w:rsidTr="00C134A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Здания и соору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жения или их части, помещения которых согласно ПУЭ отно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сятся к зонам клас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сов П-</w:t>
            </w:r>
            <w:proofErr w:type="gram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I</w:t>
            </w:r>
            <w:proofErr w:type="gramEnd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, П-II, </w:t>
            </w:r>
            <w:proofErr w:type="spell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П-IIа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В местностях со средней про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должительностью гроз 20 ч в год и более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Для зда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ний и со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оружений I и II степеней огнестой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кости при 0,1&lt;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N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&lt;=2 и для 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III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 — V степеней ог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нестойкости при 0,02&lt;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N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&lt;=2 -зона</w:t>
            </w:r>
            <w:proofErr w:type="gram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, при N &gt; 2- зона 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III</w:t>
            </w:r>
          </w:p>
        </w:tc>
      </w:tr>
      <w:tr w:rsidR="00C134A1" w:rsidRPr="00C134A1" w:rsidTr="00C134A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Расположенные в сельской местно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 xml:space="preserve">сти небольшие строения 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III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 — V сте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пеней огнестойко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сти, помещения ко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торых согласно ПУЭ относятся к зонам классов П-</w:t>
            </w:r>
            <w:proofErr w:type="gram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I</w:t>
            </w:r>
            <w:proofErr w:type="gramEnd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, П-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II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П-IIа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В местностях со средней про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 xml:space="preserve">должительностью гроз 20 ч в год и более при 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N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&lt;0,02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III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 (п. 2.30)</w:t>
            </w:r>
          </w:p>
        </w:tc>
      </w:tr>
      <w:tr w:rsidR="00C134A1" w:rsidRPr="00C134A1" w:rsidTr="00C134A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Наружные уста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 xml:space="preserve">новки и открытые склады, создающие согласно ПУЭ зону классов </w:t>
            </w:r>
            <w:proofErr w:type="gram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П</w:t>
            </w:r>
            <w:proofErr w:type="gramEnd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-III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В местностях со средней про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должительностью гроз 20 ч в год и более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При 0,1&lt;N&lt;=2 — зона</w:t>
            </w:r>
            <w:proofErr w:type="gram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, при N&gt;2 — зона 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III</w:t>
            </w:r>
          </w:p>
        </w:tc>
      </w:tr>
      <w:tr w:rsidR="00C134A1" w:rsidRPr="00C134A1" w:rsidTr="00C134A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Здания и соору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 xml:space="preserve">жения 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III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IIIa</w:t>
            </w:r>
            <w:proofErr w:type="spellEnd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, 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б</w:t>
            </w:r>
            <w:proofErr w:type="gramEnd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, 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IV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, 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V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 степеней огне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стойкости, в кото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рых отсутствуют помещения, относи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 xml:space="preserve">мые по ПУЭ к зонам </w:t>
            </w:r>
            <w:proofErr w:type="spell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взрыво</w:t>
            </w:r>
            <w:proofErr w:type="spellEnd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- и пожаро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опасных классов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При 0,1&lt;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N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&lt;=2 — зона</w:t>
            </w:r>
            <w:proofErr w:type="gram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, при N&gt;2 — зона 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III</w:t>
            </w:r>
          </w:p>
        </w:tc>
      </w:tr>
      <w:tr w:rsidR="00C134A1" w:rsidRPr="00C134A1" w:rsidTr="00C134A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Здания и соору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жения из легких ме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таллических конст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рукций со сгораемым утеплителем (</w:t>
            </w:r>
            <w:proofErr w:type="spell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IVa</w:t>
            </w:r>
            <w:proofErr w:type="spellEnd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 степени огнестойко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сти), в которых от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сутствуют помеще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 xml:space="preserve">ния, относимые по ПУЭ к зонам </w:t>
            </w:r>
            <w:proofErr w:type="spell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взрыво</w:t>
            </w:r>
            <w:proofErr w:type="spellEnd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- и пожаро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опасных классов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В местностях со средней про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должительностью гроз 10 ч в год и более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При 0,02&lt;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N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&lt;=2 — зона</w:t>
            </w:r>
            <w:proofErr w:type="gram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, при N&gt;2 — зона 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III</w:t>
            </w:r>
          </w:p>
        </w:tc>
      </w:tr>
      <w:tr w:rsidR="00C134A1" w:rsidRPr="00C134A1" w:rsidTr="00C134A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Небольшие строения 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III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-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V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 степе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ней огнестойкости, расположенные в сельской местности, в которых отсутст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 xml:space="preserve">вуют помещения, относимые по ПУЭ к зонам </w:t>
            </w:r>
            <w:proofErr w:type="spell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взрыво</w:t>
            </w:r>
            <w:proofErr w:type="spellEnd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- и по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жароопасных клас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сов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В местностях со средней про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 xml:space="preserve">должительностью гроз 20 ч в год и более для 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III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IIIa</w:t>
            </w:r>
            <w:proofErr w:type="spellEnd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, 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III</w:t>
            </w:r>
            <w:proofErr w:type="gram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б</w:t>
            </w:r>
            <w:proofErr w:type="gramEnd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, IV, V степе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ней огнестойко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 xml:space="preserve">сти при 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N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&lt;0,1, для </w:t>
            </w:r>
            <w:proofErr w:type="spell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IVa</w:t>
            </w:r>
            <w:proofErr w:type="spellEnd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 степени огнестойкости при 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N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&lt;0,02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III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 (п. 2.30)</w:t>
            </w:r>
          </w:p>
        </w:tc>
      </w:tr>
      <w:tr w:rsidR="00C134A1" w:rsidRPr="00C134A1" w:rsidTr="00C134A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Здания вычисли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тельных центров, в том числе располо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женные в городской застройке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В местностях со средней про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должительностью гроз 20 ч в год и более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Зона</w:t>
            </w:r>
            <w:proofErr w:type="gram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II</w:t>
            </w:r>
          </w:p>
        </w:tc>
      </w:tr>
      <w:tr w:rsidR="00C134A1" w:rsidRPr="00C134A1" w:rsidTr="00C134A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Животноводче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ские и птицеводче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ские здания и соору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 xml:space="preserve">жения 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III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-V степеней огнестойкости: для крупного рогатого скота и свиней на 100 голов и более, для 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lastRenderedPageBreak/>
              <w:t>овец на 500 голов и более, для птицы на 1000 голов и более, для лошадей на 40 голов и более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lastRenderedPageBreak/>
              <w:t>В местностях со средней про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должительностью гроз 40 ч в год и более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Зона</w:t>
            </w:r>
            <w:proofErr w:type="gram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III</w:t>
            </w:r>
          </w:p>
        </w:tc>
      </w:tr>
      <w:tr w:rsidR="00C134A1" w:rsidRPr="00C134A1" w:rsidTr="00C134A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Дымовые и про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чие трубы предпри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ятий и котельных, башни и вышки всех назначений высотой 15 м и более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В местностях со средней про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должительностью гроз 10 ч в год и более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III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 (п. 2.31)</w:t>
            </w:r>
          </w:p>
        </w:tc>
      </w:tr>
      <w:tr w:rsidR="00C134A1" w:rsidRPr="00C134A1" w:rsidTr="00C134A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Жилые и обще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ственные здания, высота которых бо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лее чем на 25 м пре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вышает среднюю высоту окружающих зданий в радиусе 400 м, а также отдельно стоящие здания вы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сотой более 30 м, удаленные от других зданий более чем на 400 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В местностях со средней про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должительностью гроз 20 ч в год и более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Зона Б</w:t>
            </w:r>
            <w:proofErr w:type="gram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III</w:t>
            </w:r>
          </w:p>
        </w:tc>
      </w:tr>
      <w:tr w:rsidR="00C134A1" w:rsidRPr="00C134A1" w:rsidTr="00C134A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Отдельно стоя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щие жилые и обще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ственные здания в сельской местности высотой более 30 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Зона</w:t>
            </w:r>
            <w:proofErr w:type="gram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III</w:t>
            </w:r>
          </w:p>
        </w:tc>
      </w:tr>
      <w:tr w:rsidR="00C134A1" w:rsidRPr="00C134A1" w:rsidTr="00C134A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Общественные здания 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III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-V степе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ней огнестойкости следующего назна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чения: детские до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школьные учрежде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ния, школы и школы-интернаты, стационары лечеб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ных учреждений, спальные корпуса и столовые учрежде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ний здравоохране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ния и отдыха, куль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турно-просвети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тельные и зрелищ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ные учреждения, административные здания, вокзалы, гостиницы, мотели и кемпинги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Зона</w:t>
            </w:r>
            <w:proofErr w:type="gram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III</w:t>
            </w:r>
          </w:p>
        </w:tc>
      </w:tr>
      <w:tr w:rsidR="00C134A1" w:rsidRPr="00C134A1" w:rsidTr="00C134A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Открытые зре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лищные учреждения (зрительные залы открытых кинотеат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ров, трибуны от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крытых стадионов и т.п.)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Зона</w:t>
            </w:r>
            <w:proofErr w:type="gram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III</w:t>
            </w:r>
          </w:p>
        </w:tc>
      </w:tr>
      <w:tr w:rsidR="00C134A1" w:rsidRPr="00C134A1" w:rsidTr="00C134A1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Здания и соору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жения, являющиеся памятниками исто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>рии, архитектуры и культуры (скульптуры, обели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softHyphen/>
              <w:t xml:space="preserve">ски и т.п.)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То же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Зона</w:t>
            </w:r>
            <w:proofErr w:type="gram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III</w:t>
            </w:r>
          </w:p>
        </w:tc>
      </w:tr>
    </w:tbl>
    <w:p w:rsidR="00C134A1" w:rsidRPr="00C134A1" w:rsidRDefault="00C134A1" w:rsidP="00C134A1">
      <w:pPr>
        <w:spacing w:after="0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1.2. Здания и сооружения, отнесенные по устройству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молниезащиты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к I и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II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категориям, должны быть защищены от прямых ударов молнии, вторичных ее проявлений и заноса высокого потенциала через наземные (надземные) и подземные металлические коммуникации.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Здания и сооружения, отнесенные по устройству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молниезащиты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к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III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категории, должны быть защищены от прямых ударов молнии и заноса высокого потенциала через наземные (надземные) металлические коммуникации. Наружные установки, отнесенные по устройству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молниезащиты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ко II категории, должны быть защищены от прямых ударов и вторичных проявлений молнии.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Наружные установки, отнесенные по устройству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молниезащиты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к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III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категории, должны быть защищены от прямых ударов молнии.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Внутри зданий большой площади (шириной более 100 м) необходимо выполнять мероприятия по выравниванию потенциалов.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1.3. Для зданий и сооружений с помещениями, требующими устройства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молниезащиты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I и II или I и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III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категорий,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молниезащиту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всего здания или сооружения следует выполнять по I категории.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Если площадь помещений I категории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молниезащиты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составляет менее 30% площади всех помещений здания (на всех этажах),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молниезащиту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всего здания допускается выполнять по II категории независимо от категории остальных помещений. При этом на вводе в помещения I категории должна быть предусмотрена защита от заноса высокого потенциала по подземным и наземным (надземным) коммуникациям, выполняемая согласно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пп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. 2.8 и 2.9.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1.4. Для зданий и сооружений с помещениями, требующими устройства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молниезащиты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II и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III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категорий,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молниезащиту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всего здания или сооружения следует выполнять по II категории.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Если площадь помещений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II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категории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молниезащиты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составляет менее 30% площади всех помещений здания (на всех этажах),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молниезащиту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всего здания допускается выполнять по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III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категории. При этом на вводе в помещения II категории должна быть предусмотрена защита от заноса высокого потенциала по подземным и наземным (надземным) коммуникациям, выполняемая согласно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пп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. 2.22 и 2.23.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1.5. Для зданий и сооружений, не менее 30% общей площади которых приходится на помещения, требующие устройства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молниезащиты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по I, II или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III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категории,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молниезащита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этой части зданий и сооружений должна быть выполнена в соответствии с п. 1.2.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Для зданий и сооружений, более 70% общей площади которых составляют помещения, не подлежащие молниезащите согласно табл. 1, а остальную часть здания составляют помещения I, II или III категории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молниезащиты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, должна быть предусмотрена только защита от заноса высоких потенциалов по коммуникациям, вводимым в помещения, подлежащие молниезащите: по I категории — согласно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пп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. 2.8, 2.9;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по II и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III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категориям — путем присоединения коммуникаций к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lastRenderedPageBreak/>
        <w:t>заземляющему устройству электроустановок, соответствующему указаниям п. 1.7, или к арматуре железобетонного фундамента здания (с учетом требований п. 1.8). Такое же присоединение должно быть предусмотрено для внутренних коммуникаций (не вводимых извне)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1.6. В целях защиты зданий и сооружений любой категории от прямых ударов молнии следует максимально использовать в качестве естественных молниеотводов существующие высокие сооружения (дымовые трубы, водонапорные башни, прожекторные мачты, воздушные линии электропередачи и т.п.), а также молниеотводы других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близрасположенных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сооружений.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Если зданию или сооружение частично вписывается в зону защиты естественных молниеотводов или соседних объектов, защита от прямых ударов молнии должна предусматриваться только для остальной, незащищенной его части. Если в ходе эксплуатации здания или сооружения реконструкция или демонтаж соседних объектов приведет к увеличению этой незащищенной части, соответствующие изменения защиты от прямых ударов молнии должны быть выполнены до начала ближайшего грозового сезона; если демонтаж или реконструкция соседних объектов проводятся в течение грозового сезона, на это время должны быть предусмотрены временные мероприятия, обеспечивающие защиту от прямых ударов молнии незащищенной части здания или сооружения.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1.7. В качестве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заземлителей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молниезащиты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допускается использовать все рекомендуемые ПУЭ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заземлители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электроустановок, за исключением нулевых проводов воздушных линий электропередачи напряжением до 1 кВ.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1.8. Железобетонные фундаменты зданий, сооружений, наружных установок, опор молниеотводов следует, как правило, использовать в качестве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заземлителей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молниезащиты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при условии обеспечения непрерывной электрической связи по их арматуре и присоединения ее к закладным деталям с помощью сварки.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Битумные и битумно-латексные покрытия не являются препятствием для такого использования фундаментов. В средне- и сильноагрессивных грунтах, где защита железобетона от коррозии выполняется Эпоксидными и другими полимерными покрытиями, а также при влажности грунта менее 3% использовать железобетонные фундаменты в качестве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заземлителей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не допускается.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Искусственные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заземлители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следует располагать под асфальтовым покрытием или в редко посещаемых местах (на газонах, в удалении на 5 м и более от грунтовых проезжих и пешеходных дорог и т.п.).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1.9. Выравнивание потенциалов внутри зданий и сооружений шириной более 100 м должно происходить за счет непрерывной электрической связи между несущими внутрицеховыми конструкциями и железобетонными фундаментами, если последние могут быть использованы в качестве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заземлителей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согласно п. 1.8.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В противном случае должна быть обеспечена прокладка внутри здания в земле на глубине не менее 0,5 м протяженных горизонтальных электродов сечением не менее 100 мм. Электроды следует прокладывать не реже чем через 60 м по ширине здания и присоединять по его торцам с двух сторон к наружному контуру заземления.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1.10. На часто посещаемых открытых площадках с повышенной опасностью поражения молнией (вблизи монументов, телебашен и подобных сооружений высотой более 100 м) выравнивание потенциала выполняется присоединением токоотводов или арматуры сооружения к его железобетонному фундаменту не реже чем через 25 м по периметру основания сооружения.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При невозможности использования железобетонных фундаментов в качестве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заземлителей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под асфальтовым покрытием площадки на глубине не менее 0,5 м через каждые 25 м должны быть проложены радиально расходящиеся горизонтальные электроды сечением не менее 100 мм и длиной 2—3 м, присоединенные к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заземлителям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защиты сооружения от прямых ударов молнии.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1.11. При возведении в грозовой период высоких зданий и сооружений на них в ходе строительства, начиная с высоты 20 м, необходимо предусматривать следующие временные мероприятия по молниезащите. На верхней отметке строящегося объекта должны быть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lastRenderedPageBreak/>
        <w:t xml:space="preserve">закреплены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молниеприемники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, которые через металлические конструкции или свободно спускающиеся вдоль стен токоотводы следует присоединять к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заземлителям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, указанным в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пп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. 3.7 и 3.8. В зону защиты типа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Б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молниеотводов должны входить все наружные площадки, где в ходе строительства могут находиться люди. Соединения элементов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молниезащиты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могут быть сварными или болтовыми. По мере увеличения высоты строящегося объекта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молниеприемники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следует переносить выше.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При возведении высоких металлических сооружений их основания в начале строительства должны быть присоединены к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заземлителям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, указанным в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пп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. 3.7 и 3.8.</w:t>
      </w:r>
      <w:proofErr w:type="gramEnd"/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1.12. Устройства и мероприятия по молниезащите, отвечающие требованиям настоящих норм, должны быть заложены в проект и график строительства или реконструкции здания или сооружения таким образом, чтобы выполнение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молниезащиты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происходило одновременно с основными строительно-монтажными работами.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1.13. Устройства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молниезащиты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зданий и сооружений должны быть приняты и введены в эксплуатацию к началу отделочных работ, а при наличии взрывоопасных зон — до начала комплексного опробования технологического оборудования.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При этом оформляется и передается заказчику скорректированная при строительстве и монтаже проектная документация по устройству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молниезащиты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(чертежи и пояснительная записка) и акты приемки устройств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молниезащиты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, в том числе акты на скрытые работы по присоединению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заземлителей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к токоотводам и токоотводов к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молниеприемникам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, за исключением случаев использования стального каркаса здания в качестве токоотводов и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молниеприемников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, а также результаты замеров сопротивлении току промышленной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частоты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заземлителей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отдельно стоящих молниеотводов.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1.14. Проверка состояния устройств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молниезащиты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должна производиться для зданий и сооружений I и II категорий I раз в год перед началом грозового сезона, для зданий и сооружений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III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категории — не реже I раза в 3 года.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Проверке подлежат целость и защищенность от коррозии доступных обзору частей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молниеприемников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и токоотводов и контактов между ними, а также значение сопротивления току промышленной частоты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заземлителей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отдельно стоящих молниеотводов. Это значение не должно превышать результаты соответствующих замеров на стадии приемки более чем в 5 раз (п. 1.13). В противном случае следует проводить ревизию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заземлителя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.</w:t>
      </w:r>
    </w:p>
    <w:p w:rsidR="00C134A1" w:rsidRPr="00C134A1" w:rsidRDefault="00C134A1" w:rsidP="00C134A1">
      <w:pPr>
        <w:spacing w:before="199" w:after="199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778899"/>
          <w:sz w:val="30"/>
          <w:szCs w:val="30"/>
          <w:lang w:eastAsia="ru-RU"/>
        </w:rPr>
      </w:pPr>
      <w:r w:rsidRPr="00C134A1">
        <w:rPr>
          <w:rFonts w:ascii="Trebuchet MS" w:eastAsia="Times New Roman" w:hAnsi="Trebuchet MS" w:cs="Times New Roman"/>
          <w:b/>
          <w:bCs/>
          <w:color w:val="778899"/>
          <w:sz w:val="30"/>
          <w:szCs w:val="30"/>
          <w:lang w:eastAsia="ru-RU"/>
        </w:rPr>
        <w:t>2. ТРЕБОВАНИЯ К ВЫПОЛНЕНИЮ МОЛНИЕЗАЩИТЫ ЗДАНИЙ И СООРУЖЕНИЙ</w:t>
      </w:r>
    </w:p>
    <w:p w:rsidR="00C134A1" w:rsidRPr="00C134A1" w:rsidRDefault="00C134A1" w:rsidP="00C134A1">
      <w:pPr>
        <w:spacing w:before="120" w:after="12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778899"/>
          <w:sz w:val="26"/>
          <w:szCs w:val="26"/>
          <w:lang w:eastAsia="ru-RU"/>
        </w:rPr>
      </w:pPr>
      <w:r w:rsidRPr="00C134A1">
        <w:rPr>
          <w:rFonts w:ascii="Trebuchet MS" w:eastAsia="Times New Roman" w:hAnsi="Trebuchet MS" w:cs="Times New Roman"/>
          <w:b/>
          <w:bCs/>
          <w:color w:val="778899"/>
          <w:sz w:val="26"/>
          <w:szCs w:val="26"/>
          <w:lang w:eastAsia="ru-RU"/>
        </w:rPr>
        <w:t>МОЛНИЕЗАЩИТА I КАТЕГОРИИ</w:t>
      </w:r>
    </w:p>
    <w:p w:rsidR="00C134A1" w:rsidRPr="00C134A1" w:rsidRDefault="00C134A1" w:rsidP="00C134A1">
      <w:pPr>
        <w:spacing w:after="240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2.1. Защита от прямых ударов молнии зданий и сооружений, относимых по устройству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молниезащиты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к I категории, должна выполняться отдельно стоящими стержневыми (рис. 1) или тросовыми (рис. 2) молниеотводами. </w:t>
      </w:r>
    </w:p>
    <w:p w:rsidR="00C134A1" w:rsidRPr="00C134A1" w:rsidRDefault="00C134A1" w:rsidP="00C134A1">
      <w:pPr>
        <w:spacing w:after="0" w:line="240" w:lineRule="auto"/>
        <w:jc w:val="center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lastRenderedPageBreak/>
        <w:drawing>
          <wp:inline distT="0" distB="0" distL="0" distR="0">
            <wp:extent cx="5353050" cy="3990975"/>
            <wp:effectExtent l="19050" t="0" r="0" b="0"/>
            <wp:docPr id="1" name="Рисунок 1" descr="Отдельно стоящий стержневой молниеотвод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дельно стоящий стержневой молниеотвод: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Рис. 1. Отдельно стоящий стержневой молниеотвод: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1 — защищаемый объект; 2 — металлические коммуникации</w:t>
      </w:r>
    </w:p>
    <w:p w:rsidR="00C134A1" w:rsidRPr="00C134A1" w:rsidRDefault="00C134A1" w:rsidP="00C134A1">
      <w:pPr>
        <w:spacing w:after="0" w:line="240" w:lineRule="auto"/>
        <w:jc w:val="center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3933825" cy="2705100"/>
            <wp:effectExtent l="19050" t="0" r="9525" b="0"/>
            <wp:docPr id="2" name="Рисунок 2" descr="Отдельно стоящий тросовый молниеотв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дельно стоящий тросовый молниеотво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Рис. 2. Отдельно стоящий тросовый молниеотвод. Обозначения те же, что и на рис. 1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Указанные молниеотводы должны обеспечивать зону защиты типа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А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в соответствии с требованиями приложения 3. При этом обеспечивается удаление элементов молниеотводов от защищаемого объекта и подземных металлических коммуникаций в соответствии с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пп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. 2.3, 2.4, 2.5.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2.2. Выбор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заземлителя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защиты от прямых ударов молнии (естественного или искусственного) определяется требованиями п. 1.8.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lastRenderedPageBreak/>
        <w:t xml:space="preserve">При этом для отдельно стоящих молниеотводов приемлемыми являются следующие конструкции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заземлителей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(табл. 2)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:</w:t>
      </w:r>
      <w:proofErr w:type="gramEnd"/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а) один (и более) железобетонный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подножник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длиной не менее 2 м или одна (и более) железобетонная свая длиной не менее 5 м;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б) одна (и более) заглубленная в землю не менее чем на 5 м стойка железобетонной опоры диаметром не менее 0,25 м;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в) железобетонный фундамент произвольной формы с площадью поверхности контакта с землей не менее 10 м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2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;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г) искусственный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заземлитель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, состоящий из трех и более вертикальных электродов длиной не менее 3 м, объединенных горизонтальным электродом, при расстоянии между вертикальными электродами не менее 5 м. Минимальные сечения (диаметры) электродов определяются по табл. 3.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Таблица 2</w:t>
      </w:r>
    </w:p>
    <w:tbl>
      <w:tblPr>
        <w:tblW w:w="6600" w:type="dxa"/>
        <w:jc w:val="center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001"/>
        <w:gridCol w:w="3080"/>
        <w:gridCol w:w="1519"/>
      </w:tblGrid>
      <w:tr w:rsidR="00C134A1" w:rsidRPr="00C134A1" w:rsidTr="00C134A1">
        <w:trPr>
          <w:tblCellSpacing w:w="0" w:type="dxa"/>
          <w:jc w:val="center"/>
        </w:trPr>
        <w:tc>
          <w:tcPr>
            <w:tcW w:w="2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DDDDDD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</w:pPr>
            <w:proofErr w:type="spellStart"/>
            <w:r w:rsidRPr="00C134A1"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  <w:t>Заземлитель</w:t>
            </w:r>
            <w:proofErr w:type="spellEnd"/>
          </w:p>
        </w:tc>
        <w:tc>
          <w:tcPr>
            <w:tcW w:w="2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DDDDDD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  <w:t>Эскиз</w:t>
            </w:r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DDDDDD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  <w:t xml:space="preserve">Размеры, </w:t>
            </w:r>
            <w:proofErr w:type="gramStart"/>
            <w:r w:rsidRPr="00C134A1"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C134A1" w:rsidRPr="00C134A1" w:rsidTr="00C134A1">
        <w:trPr>
          <w:tblCellSpacing w:w="0" w:type="dxa"/>
          <w:jc w:val="center"/>
        </w:trPr>
        <w:tc>
          <w:tcPr>
            <w:tcW w:w="2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Железобетонный </w:t>
            </w:r>
            <w:proofErr w:type="spell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подножник</w:t>
            </w:r>
            <w:proofErr w:type="spellEnd"/>
          </w:p>
        </w:tc>
        <w:tc>
          <w:tcPr>
            <w:tcW w:w="2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292421"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981075"/>
                  <wp:effectExtent l="19050" t="0" r="0" b="0"/>
                  <wp:docPr id="3" name="Рисунок 3" descr="Железобетонный поднож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Железобетонный поднож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 xml:space="preserve">a 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&gt;= 1,8 </w:t>
            </w:r>
          </w:p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 xml:space="preserve">b 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&gt;= 0,4 </w:t>
            </w:r>
          </w:p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 xml:space="preserve">l 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&gt;= 2,2</w:t>
            </w:r>
          </w:p>
        </w:tc>
      </w:tr>
      <w:tr w:rsidR="00C134A1" w:rsidRPr="00C134A1" w:rsidTr="00C134A1">
        <w:trPr>
          <w:tblCellSpacing w:w="0" w:type="dxa"/>
          <w:jc w:val="center"/>
        </w:trPr>
        <w:tc>
          <w:tcPr>
            <w:tcW w:w="2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Железобетонная свая</w:t>
            </w:r>
          </w:p>
        </w:tc>
        <w:tc>
          <w:tcPr>
            <w:tcW w:w="2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292421"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1152525"/>
                  <wp:effectExtent l="19050" t="0" r="0" b="0"/>
                  <wp:docPr id="4" name="Рисунок 4" descr="Железобетонная с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Железобетонная с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proofErr w:type="spell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d</w:t>
            </w:r>
            <w:proofErr w:type="spellEnd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 = 0,25-0,4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 xml:space="preserve"> </w:t>
            </w:r>
          </w:p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 xml:space="preserve">l 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&gt;=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5</w:t>
            </w:r>
          </w:p>
        </w:tc>
      </w:tr>
      <w:tr w:rsidR="00C134A1" w:rsidRPr="00C134A1" w:rsidTr="00C134A1">
        <w:trPr>
          <w:tblCellSpacing w:w="0" w:type="dxa"/>
          <w:jc w:val="center"/>
        </w:trPr>
        <w:tc>
          <w:tcPr>
            <w:tcW w:w="2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Стальной </w:t>
            </w:r>
            <w:proofErr w:type="spell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двухстержневой</w:t>
            </w:r>
            <w:proofErr w:type="spellEnd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: </w:t>
            </w:r>
          </w:p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полоса размером 40х4 мм</w:t>
            </w:r>
          </w:p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стержни диаметром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 xml:space="preserve"> d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=10-20 мм</w:t>
            </w:r>
          </w:p>
        </w:tc>
        <w:tc>
          <w:tcPr>
            <w:tcW w:w="2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292421"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714375"/>
                  <wp:effectExtent l="19050" t="0" r="0" b="0"/>
                  <wp:docPr id="5" name="Рисунок 5" descr="Стальной двухстержнев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тальной двухстержнев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proofErr w:type="spell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t</w:t>
            </w:r>
            <w:proofErr w:type="spellEnd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 &gt;= 0,5 </w:t>
            </w:r>
          </w:p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l =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 3-5 </w:t>
            </w:r>
          </w:p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 xml:space="preserve">c 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= 3-5</w:t>
            </w:r>
          </w:p>
        </w:tc>
      </w:tr>
      <w:tr w:rsidR="00C134A1" w:rsidRPr="00C134A1" w:rsidTr="00C134A1">
        <w:trPr>
          <w:tblCellSpacing w:w="0" w:type="dxa"/>
          <w:jc w:val="center"/>
        </w:trPr>
        <w:tc>
          <w:tcPr>
            <w:tcW w:w="24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Стальной </w:t>
            </w:r>
            <w:proofErr w:type="spell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трехстержисвой</w:t>
            </w:r>
            <w:proofErr w:type="spellEnd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: </w:t>
            </w:r>
          </w:p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полоса размером 40х4 мм </w:t>
            </w:r>
          </w:p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стержни диаметром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 xml:space="preserve"> d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= 10-20 мм</w:t>
            </w:r>
          </w:p>
        </w:tc>
        <w:tc>
          <w:tcPr>
            <w:tcW w:w="23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noProof/>
                <w:color w:val="292421"/>
                <w:sz w:val="24"/>
                <w:szCs w:val="24"/>
                <w:lang w:eastAsia="ru-RU"/>
              </w:rPr>
              <w:drawing>
                <wp:inline distT="0" distB="0" distL="0" distR="0">
                  <wp:extent cx="1914525" cy="1066800"/>
                  <wp:effectExtent l="19050" t="0" r="9525" b="0"/>
                  <wp:docPr id="6" name="Рисунок 6" descr="Стальной трехстержисв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тальной трехстержисв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proofErr w:type="spell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t</w:t>
            </w:r>
            <w:proofErr w:type="spellEnd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 &gt;= 0,5 </w:t>
            </w:r>
          </w:p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>l =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 3-5 </w:t>
            </w:r>
          </w:p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 xml:space="preserve">c 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= 5-6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C134A1" w:rsidRPr="00C134A1" w:rsidRDefault="00C134A1" w:rsidP="00C134A1">
      <w:pPr>
        <w:spacing w:after="0" w:line="240" w:lineRule="auto"/>
        <w:jc w:val="center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  <w:t xml:space="preserve">Таблица 3 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387"/>
        <w:gridCol w:w="3715"/>
        <w:gridCol w:w="1273"/>
      </w:tblGrid>
      <w:tr w:rsidR="00C134A1" w:rsidRPr="00C134A1" w:rsidTr="00C134A1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DDDDDD"/>
            <w:vAlign w:val="center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  <w:lastRenderedPageBreak/>
              <w:t xml:space="preserve">Форма токоотвода и </w:t>
            </w:r>
            <w:proofErr w:type="spellStart"/>
            <w:r w:rsidRPr="00C134A1"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  <w:t>заземлителя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DDDDDD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  <w:t xml:space="preserve">Сечение (диаметр) токоотвода и </w:t>
            </w:r>
            <w:proofErr w:type="spellStart"/>
            <w:r w:rsidRPr="00C134A1"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  <w:t>заземлителя</w:t>
            </w:r>
            <w:proofErr w:type="spellEnd"/>
            <w:r w:rsidRPr="00C134A1"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134A1"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  <w:t>проложенных</w:t>
            </w:r>
            <w:proofErr w:type="gramEnd"/>
          </w:p>
        </w:tc>
      </w:tr>
      <w:tr w:rsidR="00C134A1" w:rsidRPr="00C134A1" w:rsidTr="00C134A1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after="0" w:line="240" w:lineRule="auto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снаружи здания на воздухе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в земле</w:t>
            </w:r>
          </w:p>
        </w:tc>
      </w:tr>
      <w:tr w:rsidR="00C134A1" w:rsidRPr="00C134A1" w:rsidTr="00C134A1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Круглые токоотводы и перемычки диаметром, </w:t>
            </w:r>
            <w:proofErr w:type="gram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-</w:t>
            </w:r>
          </w:p>
        </w:tc>
      </w:tr>
      <w:tr w:rsidR="00C134A1" w:rsidRPr="00C134A1" w:rsidTr="00C134A1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Круглые вертикальные электроды диаметром, </w:t>
            </w:r>
            <w:proofErr w:type="gram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10</w:t>
            </w:r>
          </w:p>
        </w:tc>
      </w:tr>
      <w:tr w:rsidR="00C134A1" w:rsidRPr="00C134A1" w:rsidTr="00C134A1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Круглые горизонтальные* электроды диаметром, </w:t>
            </w:r>
            <w:proofErr w:type="gram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10</w:t>
            </w:r>
          </w:p>
        </w:tc>
      </w:tr>
      <w:tr w:rsidR="00C134A1" w:rsidRPr="00C134A1" w:rsidTr="00C134A1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Прямоугольные электроды: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after="0" w:line="240" w:lineRule="auto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after="0" w:line="240" w:lineRule="auto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</w:p>
        </w:tc>
      </w:tr>
      <w:tr w:rsidR="00C134A1" w:rsidRPr="00C134A1" w:rsidTr="00C134A1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сечением, </w:t>
            </w:r>
            <w:proofErr w:type="gram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160</w:t>
            </w:r>
          </w:p>
        </w:tc>
      </w:tr>
      <w:tr w:rsidR="00C134A1" w:rsidRPr="00C134A1" w:rsidTr="00C134A1">
        <w:trPr>
          <w:tblCellSpacing w:w="0" w:type="dxa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 xml:space="preserve">толщиной, </w:t>
            </w:r>
            <w:proofErr w:type="gramStart"/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4</w:t>
            </w:r>
          </w:p>
        </w:tc>
      </w:tr>
      <w:tr w:rsidR="00C134A1" w:rsidRPr="00C134A1" w:rsidTr="00C134A1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* Только для выравнивания потенциалов внутри зданий и для прокладки наружных контуров на дне котлована по периметру здания.</w:t>
            </w:r>
          </w:p>
        </w:tc>
      </w:tr>
    </w:tbl>
    <w:p w:rsidR="00C134A1" w:rsidRPr="00C134A1" w:rsidRDefault="00C134A1" w:rsidP="00C134A1">
      <w:pPr>
        <w:spacing w:after="240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2.3. Наименьшее допустимое расстояние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S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в по воздуху от защищаемого объекта до опоры (токоотвода) стержневого или тросового молниеотвода (см. рис. 1 и 2) определяется в зависимости от высоты здания, конструкции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заземлителя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и эквивалентного удельного электрического сопротивления грунта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r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,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Ом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x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Для зданий и сооружений высотой не более 30 м наименьшее допустимое расстояние 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S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в, м, равно: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при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r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&lt; 100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Ом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x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для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заземлителя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любой конструкции, приведенной в п. 2.2,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S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в = 3 м; 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при 100 &lt;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r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&lt;= 1000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Ом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x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: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для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заземлителей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, состоящих из одной железобетонной сваи, одного железобетонного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подножника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или заглубленной стойки железобетонной опоры, длина которых указана в п. 2.2а, б,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S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в = 3+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l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0-2 (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r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—100);</w:t>
      </w:r>
      <w:proofErr w:type="gramEnd"/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для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заземлителей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, состоящих из четырех железобетонных свай либо,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подножников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, расположенных в углах прямоугольника на расстоянии 3—8 м один от другого, или железобетонного фундамента произвольной формы с площадью поверхности контакта с землей не менее 70 м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2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или искусственных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заземлителей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, указанных в п. 2.2г,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S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в = 4 м.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Для зданий и сооружений большей высоты определенное выше значение 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S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в должно быть увеличено на 1 м в расчете на каждые 10 м высоты объекта сверх 30 м.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2.4. Наименьшее допустимое расстояние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S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в от защищаемого объекта до троса в середине пролета (рис. 2) определяется в зависимости от конструкции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заземлителя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, эквивалентного удельного сопротивления грунта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r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,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Ом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x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, и суммарной длины </w:t>
      </w:r>
      <w:r w:rsidRPr="00C134A1">
        <w:rPr>
          <w:rFonts w:ascii="Trebuchet MS" w:eastAsia="Times New Roman" w:hAnsi="Trebuchet MS" w:cs="Times New Roman"/>
          <w:i/>
          <w:iCs/>
          <w:color w:val="292421"/>
          <w:sz w:val="20"/>
          <w:lang w:val="en-US" w:eastAsia="ru-RU"/>
        </w:rPr>
        <w:t>l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молниеприемников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и токоотводов.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При длине </w:t>
      </w:r>
      <w:proofErr w:type="spellStart"/>
      <w:r w:rsidRPr="00C134A1">
        <w:rPr>
          <w:rFonts w:ascii="Trebuchet MS" w:eastAsia="Times New Roman" w:hAnsi="Trebuchet MS" w:cs="Times New Roman"/>
          <w:i/>
          <w:iCs/>
          <w:color w:val="292421"/>
          <w:sz w:val="20"/>
          <w:lang w:eastAsia="ru-RU"/>
        </w:rPr>
        <w:t>l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&lt; 200 м наименьшее допустимое расстояние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S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в1, м, равно: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при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r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&lt; 100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Ом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x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для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заземлителя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любой конструкции, приведенной в п. 2.2,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S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в1 =3,5 м; 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при 100 &lt;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r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&lt;= 1000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Ом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x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: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для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заземлителей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, состоящих из одной железобетонной сваи, одного железобетонного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подножника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или заглубленной стойки железобетонной опоры, длина которых указана в п. 2.2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a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, б,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S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в=3,5+3x10-3 (r-100);</w:t>
      </w:r>
      <w:proofErr w:type="gramEnd"/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для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заземлителей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, состоящих из четырех железобетонных свай или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подножников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, расположенных на расстоянии 3—8 м один от другого, или искусственных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заземлителей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, указанных в п. 2.2г,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S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в1=4м.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lastRenderedPageBreak/>
        <w:t xml:space="preserve">При суммарной длине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молниеприемников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и токоотводов </w:t>
      </w:r>
      <w:r w:rsidRPr="00C134A1">
        <w:rPr>
          <w:rFonts w:ascii="Trebuchet MS" w:eastAsia="Times New Roman" w:hAnsi="Trebuchet MS" w:cs="Times New Roman"/>
          <w:i/>
          <w:iCs/>
          <w:color w:val="292421"/>
          <w:sz w:val="20"/>
          <w:lang w:val="en-US" w:eastAsia="ru-RU"/>
        </w:rPr>
        <w:t>l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=200-300 м наименьшее допустимое расстояние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S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в1 должно быть увеличено на 2 м по сравнению с определенными выше значениями.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2.5. Для исключения заноса высокого потенциала в защищаемое здание или 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сооружение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но подземным металлическим коммуникациям (в том числе по электрическим кабелям любого назначения)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заземлители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защиты от прямых ударов молнии должны быть по возможности удалены от этих коммуникаций на максимальные расстояния, допустимые по технологическим требованиям. Наименьшие допустимые расстояния 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S</w:t>
      </w:r>
      <w:proofErr w:type="spellStart"/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, (см. рис. 1 и 2) в земле между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заземлителями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защиты от прямых ударов молнии и коммуникациями, вводимыми в здания и сооружения 1 категории, должны составлять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S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=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S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в + 2 (м), при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S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в по п. 2.3.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2.6. При наличии на зданиях и сооружениях прямых газоотводных и дыхательных труб для свободного отвода в атмосферу газов, паров и взвесей взрывоопасной концентрации в зону защиты молниеотводов должно входить пространство над обрезом труб, ограниченное полушарием радиусом 5 м.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Для газоотводных и дыхательных труб, оборудованных колпаками или "гусаками", в зону защиты молниеотводов должно входить пространство над обрезом труб, ограниченное цилиндром высотой Н и радиусом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R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: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для газов тяжелее воздуха при избыточном давлении внутри установки менее 5,05 кПа (0,05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ат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) Н = 1 м,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R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= 2 м; 5,05-25,25 кПа (0,05 — 0,25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ат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) H = 2,5 м,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R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= 5 м,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для газов легче воздуха при избыточном давлении внутри установки: 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до 25,25 кПа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= 2,5 м, R = 5 м; 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свыше 25,25 кПа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= 5 м, R = 5 м.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Не требуется включать в зону защиты молниеотводов пространство над обрезом труб: при выбросе газов невзрывоопасной концентрации; наличии азотного дыхания; при постоянно горящих факелах и факелах, поджигаемых в момент выброса газов; для вытяжных вентиляционных шахт, предохранительных и аварийных клапанов, выброс газов взрывоопасной концентрации из которых осуществляется только в аварийных случаях.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2.7. Для защиты от вторичных проявлений молнии должны быть предусмотрены следующие мероприятия: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а) металлические конструкции и корпуса всего оборудования и аппаратов, находящиеся в защищаемом здании, должны быть присоединены к заземляющему устройству электроустановок, указанному в п. 1.7, или к железобетонному фундаменту здания (с учетом требований п. 1.8). Наименьшие допустимые расстояния в земле между этим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заземлителем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и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заземлителями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защиты от прямых ударов молнии должны быть в соответствии с п. 2.5; 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б) внутри зданий и сооружений между трубопроводами и другими протяженными металлическими конструкциями в местах их взаимного сближения на расстояние менее 10 см через каждые 20 м следует приваривать или припаивать перемычки из стальной проволоки диаметром не менее 5 мм или стальной ленты сечением не менее 24 мм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2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, для кабелей с металлическими оболочками или броней перемычки должны выполняться из гибкого медного проводника в соответствии с указаниями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СНиП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3.05.06-85;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в) в соединениях элементов трубопроводов или других протяженных металлических предметов должны быть обеспечены переходные сопротивления не более 0,03 Ом на каждый контакт. При невозможности обеспечения контакта с указанным переходным сопротивлением с помощью болтовых соединений необходимо устройство стальных перемычек, размеры которых указаны в подпункте "б".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2.8. Защита от заноса высокого потенциала по подземным металлическим коммуникациям (трубопроводам, кабелям в наружных металлических оболочках или трубах) должна осуществляться путем их присоединения на вводе в здание или сооружение к арматуре его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lastRenderedPageBreak/>
        <w:t xml:space="preserve">железобетонного фундамента, а при невозможности использования последнего в качестве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заземлителя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— к искусственному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заземлителю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, указанному в п. 2.2 г.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2.9. Защита от заноса высокого потенциала по внешним наземным (надземным) металлическим коммуникациям должна осуществляться путем их заземления на вводе в здание или сооружение и на двух ближайших к этому вводу опорах коммуникации. В качестве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заземлителей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следует использовать железобетонные фундаменты здания или сооружения и каждой из опор, а при невозможности такого использования (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см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. п. 1.8) — искусственные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заземлители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, согласно п. 2.2г.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2.10. Ввода здания воздушных линий электропередачи напряжением до 1 кВ, сетей телефона, радио, сигнализации должен осуществляться только кабелями длиной не менее 50 м с металлической броней или оболочкой или кабелями, проложенными в металлических трубах.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На вводе в здание металлические трубы, броня и оболочки кабелей, в том числе с изоляционным покрытием металлической оболочки (например,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ААШв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,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ААШп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)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,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должны быть присоединены к железобетонному фундаменту здания или (см. п. 1.8) к искусственному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заземлителю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, указанному в п. 2.2г.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В месте перехода воздушной линии электропередачи в кабель металлические броня и оболочка кабеля, а также штыри или крючья изоляторов воздушной линии должны быть присоединены к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заземлителю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, указанному в п. 2.2г. К такому же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заземлителю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должны быть присоединены штыри или крючья изоляторов на опоре воздушной линии электропередачи, ближайшей к месту перехода в кабель.</w:t>
      </w:r>
      <w:proofErr w:type="gramEnd"/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Кроме того, в месте перехода воздушной линии электропередачи в кабель между каждой жилой кабеля и заземленными элементами должны быть обеспечены закрытые воздушные искровые промежутки длиной 2—3 мм или установлен вентильный разрядник низкого напряжения, например РВН-0,5.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Защита от заноса высоких потенциалов по воздушным линиям электропередачи напряжением выше 1 кВ, вводимым в подстанции, размещенные в защищаемом здании (внутрицеховые или пристроенные), должна выполняться в соответствии с ПУЭ.</w:t>
      </w:r>
    </w:p>
    <w:p w:rsidR="00C134A1" w:rsidRPr="00C134A1" w:rsidRDefault="00C134A1" w:rsidP="00C134A1">
      <w:pPr>
        <w:spacing w:before="120" w:after="12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778899"/>
          <w:sz w:val="26"/>
          <w:szCs w:val="26"/>
          <w:lang w:eastAsia="ru-RU"/>
        </w:rPr>
      </w:pPr>
      <w:r w:rsidRPr="00C134A1">
        <w:rPr>
          <w:rFonts w:ascii="Trebuchet MS" w:eastAsia="Times New Roman" w:hAnsi="Trebuchet MS" w:cs="Times New Roman"/>
          <w:b/>
          <w:bCs/>
          <w:color w:val="778899"/>
          <w:sz w:val="26"/>
          <w:szCs w:val="26"/>
          <w:lang w:eastAsia="ru-RU"/>
        </w:rPr>
        <w:t>МОЛНИЕЗАЩИТА II КАТЕГОРИИ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2.11. Защита от прямых ударов молнии зданий и сооружений II категории с неметаллической кровлей должна быть выполнена отдельно стоящими или установленными на защищаемом объекте стержневыми или тросовыми молниеотводами, обеспечивающими зону защиты в соответствии с требованиями табл. 1, п. 2.6 и приложения 3. При установке молниеотводов на объекте от каждого стержневого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молниеприемника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или каждой стойки тросового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молниеприемника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должно быть обеспечено не менее двух токоотводов. При уклоне кровли не более 1:8 может быть использована также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молниеприемная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сетка при обязательном выполнении требований п. 2.6.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proofErr w:type="spellStart"/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Молниеприемная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сетка должна быть выполнена из стальной проволоки диаметром не менее 6 мм и уложена на кровлю сверху или под несгораемые или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трудносгораемые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утеплитель или гидроизоляцию.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Шаг ячеек сетки должен быть не более 6х6 м. Узлы сетки должны быть соединены сваркой. Выступающие над крышей металлические элементы (трубы, шахты, вентиляционные устройства) должны быть присоединены к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молниеприемной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сетке, а выступающие неметаллические элементы — оборудованы дополнительными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молниеприемниками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, также присоединенными к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молниеприемной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сетке.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Установка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молниеприемников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или наложение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молниеприемной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сетки не требуется для зданий и сооружений с металлическими фермами при условии, что в их кровлях используются несгораемые или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трудносгораемые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утеплители и гидроизоляция.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На зданиях и сооружениях с металлической кровлей в качестве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молниеприемника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должна использоваться сама кровля. 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При этом все выступающие неметаллические элементы должны быть оборудованы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молниеприемниками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, присоединенными к металлу кровли, в. также соблюдены требования п. 2.6.</w:t>
      </w:r>
      <w:proofErr w:type="gramEnd"/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lastRenderedPageBreak/>
        <w:t xml:space="preserve">Токоотводы от металлической кровли или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молниеприемной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сетки должны быть проложены к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заземлителям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не реже чем через 25 м по периметру здания.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2.12. 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При прокладке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молниеприемной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сетки и установке молниеотводов на защищаемом объекте всюду, где это возможно, в качестве токоотводов следует использовать металлические конструкции зданий и сооружений (колонны, фермы, рамы, пожарные лестницы и т.п., а также арматуру железобетонных конструкции) при условии обеспечения непрерывной электрической связи в соединениях конструкций и арматуры с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молниеприемниками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и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заземлителями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, выполняемых, как правило, сваркой.</w:t>
      </w:r>
      <w:proofErr w:type="gramEnd"/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Токоотводы, прокладываемые по наружным стенам зданий, следует располагать не ближе чем в 3м от входов или в местах, не доступных для прикосновения людей.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2.13. В качестве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заземлителей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защиты от прямых ударов молнии во всех возможных случаях (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см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. п. 1.8) следует использовать железобетонные фундаменты зданий и сооружений.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При невозможности использования фундаментов предусматриваются искусственные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заземлители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: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при наличии стержневых и тросовых молниеотводов каждый токоотвод присоединяется к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заземлителю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, отвечающему требованиям п. 2.2г;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при наличии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молниеприемной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сетки или металлической кровли по периметру здания или сооружения прокладывается наружный контур следующей конструкции: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в грунтах с эквивалентным удельным сопротивлением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r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&lt;= 500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Омxм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при площади здания более 250 м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2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выполняется контур из горизонтальных электродов, уложенных в земле на глубине не менее 0,5 м, а при площади здания менее 250 м2 к этому контуру в местах присоединения токоотводов приваривается по одному вертикальному или горизонтальному лучевому электроду длиной 2—3 м;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в грунтах с удельным сопротивлением 500 &lt;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r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&lt;= 1000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Омxм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при площади здания более 900 м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2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достаточно выполнить контур только из горизонтальных электродов, а при площади здания менее 900 м2 к этому контуру в местах присоединения токоотводов приваривается не менее двух вертикальных или горизонтальных лучевых электродов длиной 2—3 м на расстоянии 3—5 м один от другого.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Минимально допустимые сечения (диаметры) электродов искусственных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заземлителей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определяются по табл. 3.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В зданиях большой площади наружный контур заземления может также использоваться для выравнивания потенциала внутри здания в соответствии с требованиями п. 1.9.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Во всех возможных случаях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заземлитель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защиты от прямых ударов молнии должен быть объединен с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заземлителем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электроустановок в соответствии с указаниями п. 1.7.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2.14. При установке отдельно стоящих молниеотводов расстояние от них по воздуху и в земле до защищаемого объекта и вводимых в него подземных коммуникаций не нормируется.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2.15. Наружные установки, содержащие горючие и сжиженные газы и легковоспламеняющиеся жидкости, следует защищать от прямых ударов молнии следующим образом: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а) корпуса установок из железобетона, металлические корпуса установок и отдельных резервуаров при толщине металла крыши менее 4 мм должны быть оборудованы молниеотводами, установленными на защищаемом объекте или отдельно стоящими;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б) металлические корпуса установок и отдельных резервуаров при толщине металла крыши 4 мм и более, а также отдельные резервуары вместимостью менее 200 м3 независимо от толщины металла крыши, а также металлические кожухи теплоизолированных установок достаточно присоединить к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заземлителю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lastRenderedPageBreak/>
        <w:t>2.16. Для резервуарных парков, содержащих сжиженные газы, общей вместимостью более 8000 м3, а также для резервуарных парков с корпусами из металла и железобетона, содержащих горючие газы и легковоспламеняющиеся жидкости, при общей вместимости группы резервуаров более 100 тыс. м3 защиту от прямых ударов молнии следует, как правило, выполнять отдельно стоящими молниеотводами.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2.17. 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Очистные сооружения подлежат защите от прямых ударов молнии, если температура вспышки содержащегося в сточных водах продукта превышает его рабочую температуру менее чем на 10 °С. В зону защиты молниеотводов должно входить пространство, основание которого выходит за пределы очистного сооружения на 5 м в каждую сторону от его стенок, а высота равна высоте сооружения плюс 3 м.</w:t>
      </w:r>
      <w:proofErr w:type="gramEnd"/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2.18. Если на наружных установках или в резервуарах (наземных или подземных), содержащих горючие газы или легковоспламеняющиеся жидкости, имеются газоотводные или дыхательные трубы, то они и пространство над ними (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см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. п. 2.6) должны быть защищены от прямых ударов молнии. Такое же пространство защищается над срезом горловины цистерн, в которые происходит открытый налив продукта на сливоналивной эстакаде. Защите от прямых ударов молнии подлежат также дыхательные клапаны и пространство над ними, ограниченное цилиндром высотой 2,5 м с радиусом 5 м.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Для резервуаров с плавающими крышами или понтонами и зону защиты молниеотводов должно входить пространство, ограниченное поверхностью, любая точка которой отстоит на 5 м от легковоспламеняющейся жидкости в кольцевом зазоре.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2.19. 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Для наружных установок, перечисленных в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пп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. 2.15 — 2.18, в ткачестве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заземлителей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защиты от прямых ударов молнии следует по возможности использовать железобетонные фундаменты этих установок или (опор отдельно стоящих молниеотводов либо выполнять искусственные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заземлители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, состоящие из одного вертикального или горизонтального электрода длиной не менее 5 м.</w:t>
      </w:r>
      <w:proofErr w:type="gramEnd"/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К этим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заземлителям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, размещенным не реже чем через 50 м по периметру основания установки, должны быть присоединены корпуса наружных установок или токоотводы установленных на них молниеотводов, число присоединений — не менее двух.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2.20. Для защиты зданий и сооружений от вторичных проявлений молнии должны быть предусмотрены следующие мероприятия: 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а) металлические корпуса всего оборудования и аппаратов, установленных в защищаемом здании (сооружении), должны быть присоединены к заземляющему устройству электроустановок, соответствующему указаниям п. 1.7, или к железобетонному фундаменту здания (с учетом требований п. 1.8)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;</w:t>
      </w:r>
      <w:proofErr w:type="gramEnd"/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б) внутри здания между трубопроводами и другими протяженными металлическими конструкциями в местах их сближения на расстояние менее 10 см через каждые 30 м должны быть выполнены перемычки в соответствии с указаниями п. 2.76;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в) во фланцевых соединениях трубопроводов внутри здания следует обеспечить нормальную затяжку не менее четырех болтов на каждый фланец.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2.21. Для защиты наружных установок от вторичных проявлений молнии металлические корпуса установленных на них аппаратов должны быть присоединены к заземляющему устройству электрооборудования или к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заземлителю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защиты от прямых ударов молнии.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На резервуарах с плавающими крышами или понтонами необходимо устанавливать не менее двух гибких стальных перемычек между плавающими крышами или понтонами и металлическим корпусом резервуара или токоотводами установленных на резервуаре молниеотводов.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2.22. Защита от заноса высокого потенциала по подземным коммуникациям осуществляется присоединением их на вводе в здание или сооружение к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заземлителю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электроустановок или защиты от прямых ударов молнии.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lastRenderedPageBreak/>
        <w:t xml:space="preserve">2.23. Защита от заноса высокого потенциала по внешним наземным (надземным) коммуникациям выполняется путем их присоединения на вводе в здание или сооружение к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заземлителю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электроустановок или защиты от прямых ударов молнии, а на ближайшей к вводу опоре коммуникации — к ее железобетонному фундаменту. При невозможности использования фундамента (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см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. п. 1.8) должен быть установлен искусственный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заземлитель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, состоящий из одного вертикального или горизонтального электрода длиной не менее 5 м.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2.24. Защита от заноса высокого потенциала по воздушным линиям электропередачи, сетям телефона, радио и сигнализации должна быть выполнена в соответствии с п. 2.10.</w:t>
      </w:r>
    </w:p>
    <w:p w:rsidR="00C134A1" w:rsidRPr="00C134A1" w:rsidRDefault="00C134A1" w:rsidP="00C134A1">
      <w:pPr>
        <w:spacing w:before="120" w:after="12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778899"/>
          <w:sz w:val="26"/>
          <w:szCs w:val="26"/>
          <w:lang w:eastAsia="ru-RU"/>
        </w:rPr>
      </w:pPr>
      <w:r w:rsidRPr="00C134A1">
        <w:rPr>
          <w:rFonts w:ascii="Trebuchet MS" w:eastAsia="Times New Roman" w:hAnsi="Trebuchet MS" w:cs="Times New Roman"/>
          <w:b/>
          <w:bCs/>
          <w:color w:val="778899"/>
          <w:sz w:val="26"/>
          <w:szCs w:val="26"/>
          <w:lang w:eastAsia="ru-RU"/>
        </w:rPr>
        <w:t xml:space="preserve">МОЛНИЕЗАЩИТА </w:t>
      </w:r>
      <w:r w:rsidRPr="00C134A1">
        <w:rPr>
          <w:rFonts w:ascii="Trebuchet MS" w:eastAsia="Times New Roman" w:hAnsi="Trebuchet MS" w:cs="Times New Roman"/>
          <w:b/>
          <w:bCs/>
          <w:color w:val="778899"/>
          <w:sz w:val="26"/>
          <w:szCs w:val="26"/>
          <w:lang w:val="en-US" w:eastAsia="ru-RU"/>
        </w:rPr>
        <w:t>III</w:t>
      </w:r>
      <w:r w:rsidRPr="00C134A1">
        <w:rPr>
          <w:rFonts w:ascii="Trebuchet MS" w:eastAsia="Times New Roman" w:hAnsi="Trebuchet MS" w:cs="Times New Roman"/>
          <w:b/>
          <w:bCs/>
          <w:color w:val="778899"/>
          <w:sz w:val="26"/>
          <w:szCs w:val="26"/>
          <w:lang w:eastAsia="ru-RU"/>
        </w:rPr>
        <w:t xml:space="preserve"> КАТЕГОРИИ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2.25. Защита от прямых ударов молнии зданий и сооружений, относимых по устройству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молниезащиты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к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III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категории, должна выполняться одним из способов, указанных в п. 2.11, с соблюдением требований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пп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. 2.12 и 2.14.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При этом в случае использования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молниеприемной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сетки шаг ее ячеек должен быть не более 12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х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12м.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2.26. Во всех возможных случаях (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см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. п. 1.7) в качестве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заземлителей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защиты от прямых ударов молнии следует использовать железобетонные фундаменты зданий и сооружений.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При невозможности их использования выполняют искусственные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заземлители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: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каждый токоотвод от стержневых и тросовых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молниеприемников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должен быть присоединен к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заземлителю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, состоящему минимум из двух вертикальных электродов длиной не менее 3 м, объединенных горизонтальным электродом длиной не менее 5 м;</w:t>
      </w:r>
      <w:proofErr w:type="gramEnd"/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при использовании в качестве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молниеприемников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сетки или металлической кровли по периметру здания в земле на глубине не менее 0,5 м должен быть проложен наружный контур, состоящий из горизонтальных электродов. В грунтах с эквивалентным удельным сопротивлением 500 &lt;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r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&lt;= 1000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Омxм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и при площади здания менее 900 м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2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к этому контуру в местах присоединения токоотводов следует приваривать по одному вертикальному или горизонтальному лучевому электроду длиной 2—3 м.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Минимально допустимые сечения (диаметры) электродов искусственных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заземлителей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определяются по табл. 3.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В зданиях большой площади (шириной более 100 м) наружный контур заземления может также использоваться для выравнивания потенциалов внутри здания в соответствии с требованиями п. 1.9.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Во всех возможных случаях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заземлитель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защиты от прямых ударов молнии должен быть объединен с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заземлителем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электроустановки, указанным в гл. 1.7 ПУЭ.</w:t>
      </w:r>
      <w:proofErr w:type="gramEnd"/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2.27. При защите строений для крупного рогатого скота и конюшен отдельно стоящими молниеотводами их опоры и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заземлители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следует располагать не ближе чем в 5м от входа в строения.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При установке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молниеприемников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или укладке сетки на защищаемом стрости в качестве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заземлителей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следует использовать железобетонный фундамент (см. п. 1.8) или наружный контур, проложенный по периметру строения 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под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асфальтовой или бетонной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отмосткой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в соответствии с указаниями п. 2.26.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К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заземлителям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защиты от прямых ударов молнии должны быть присоединены находящиеся внутри строения металлические конструкции, оборудование и трубопроводы, а также устройства выравнивания электрических потенциалов.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lastRenderedPageBreak/>
        <w:t xml:space="preserve">2.28. Защита от прямых ударов молнии металлических скульптур и обелисков, указанных в п. 17 табл. 1, обеспечивается присоединением их к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заземлителю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любой конструкции, приведенной в п. 2.26.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При наличии часто посещаемых площадок вблизи таких сооружений большой высоты должно быть выполнено выравнивание потенциала в соответствии с п. 1.10.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2.29.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Молниезащита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наружных установок, содержащих горючие жидкости с температурой вспышки паров выше 61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°С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и соответствующих п. 6 табл. 1, должна быть выполнена следующим образом: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а) корпуса установок из железобетона, а также металлические корпуса установок и резервуаров при толщине крыши менее 4 мм должны быть оборудованы молниеотводами, установленными на защищаемом сооружении или отдельно стоящими;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б) металлические корпуса установок и резервуаров при толщине крыши 4 мм и более следует присоединять к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заземлителю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. Конструкции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заземлителей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должны отвечать требованиям п. 2.19. 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2.30. Расположенные в сельской местности небольшие строения с неметаллической кровлей, соответствующие указанным в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пп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. 5 и 9 табл. 1, подлежат защите от прямых ударов молнии одним из упрощенных способов: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а) при наличии на расстоянии 3—10 м от строения деревьев, в 2 раза и более превышающих его высоту с учетом всех выступающих на кровле предметов (дымовые трубы, антенны и т.д.), по стволу ближайшего из деревьев должен быть проложен токоотвод, верхний конец которого выступает над кроной дерева не менее чем на 0,2 м. У основания дерева токоотвод должен быть присоединен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к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заземлителю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;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б) если конек кровли соответствует наибольшей высоте строения, над ним должен быть подвешен тросовый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молниеприемник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, возвышающийся над коньком не менее чем на 0,25 м. Опорами для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молниеприемника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могут служить закрепленные на стенах строения деревянные планки. Токоотводы прокладывают с двух сторон по торцевым стенам строения и присоединяют к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заземлителям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. При длине строения менее 10 м токоотвод и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заземлитель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могут быть выполнены только с одной стороны;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в) при наличии возвышающейся над всеми элементами кровли дымовой трубы над ней следует установить стержневой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молниеприемник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высотой не менее 0,2 м, проложить по кровле и стене строения токоотвод и присоединить его к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заземлителю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;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г) при наличии металлической кровли ее следует хотя бы в одной точке присоединить к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заземлителю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; при этом токоотводами могут служить наружные металлические лестницы, водостоки и т.д. К кровле должны быть присоединены все выступающие на ней металлические предметы.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Во всех случаях следует применять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молниеприемники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и токоотводы минимальным диаметром 6 мм, а в качестве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заземлителя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— один вертикальный или горизонтальный электрод длиной 2—3 м минимальным диаметром 10 мм, уложенный на глубине не менее 0,5 м.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Соединения элементов молниеотводов допускаются сварные и болтовые.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2.31. Защита от прямых ударов молнии неметаллических труб, башен, вышек высотой более 15 м должна быть выполнена путем установки на этих сооружениях при их высоте: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до 5Ом — одного стержневого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молниеприемника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высотой не менее 1 м;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от 50 до 150 м — двух стержневых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молниеприемников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высотой не менее 1 м, соединенных на верхнем торце трубы; 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более 150 м — не менее трех стержневых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молниеприемников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высотой 0,2 — 0,5 м или по верхнему торцу трубы должно быть уложено стальное кольцо сечением не менее 160 мм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2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lastRenderedPageBreak/>
        <w:t xml:space="preserve">В качестве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молниеприемника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может также использоваться защитный колпак, устанавливаемый на дымовой трубе, или металлические конструкции типа антенн, устанавливаемые на телебашнях.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При высоте сооружения до 50 м от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молниеприемников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должна быть предусмотрена прокладка одного токоотвода; при высоте сооружения более 50 м токоотводы должны быть проложены не реже чем через 25 м по периметру основания сооружения, их минимальное количество два.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Сечения (диаметры) токоотводов должны удовлетворять требованиям табл. 3, а в зонах с высокой загазованностью или агрессивными выбросами в атмосферу диаметры токоотводов должны быть не менее 12 мм.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В качестве токоотводов могут использоваться ходовые металлические лестницы, в том числе с болтовыми соединениями звеньев, и прочие вертикальные металлические конструкции.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На железобетонных трубах в качестве токоотводов следует использовать арматурные стержни, соединенные по высоте трубы сваркой, скруткой или внахлест; при этом прокладка наружных токоотводов не требуется. Соединение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молниеприемника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с арматурой должно выполняться минимум в двух точках.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Все соединения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молниеприемников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с токоотводами должны быть выполнены сваркой.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Для металлических труб, башен, вышек установка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молниеприемников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и прокладка токоотводов не требуется.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В качестве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заземлителей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защиты от прямых ударов молнии металлических и неметаллических труб, башен, вышек следует использовать их железобетонные фундаменты согласно п. 1.8. 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При невозможности использования фундаментов на каждый токоотвод должен быть предусмотрен искусственный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заземлитель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из двух стержней, соединенных горизонтальным электродом (см. табл. 2); при периметре основания сооружения не более 25 м искусственный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заземлитель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может быть выполнен в виде горизонтального контура, проложенного на глубине не менее 0,5 м и выполненного из электрода круглого сечения (см. табл. 3).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При использовании в качестве токоотводов арматурных стержней сооружения их соединения с искусственными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заземлителями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должны выполняться не реже чем через 25 м ври минимальном количестве присоединений, равном двум.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При возведении неметаллических труб, башен, вышек металлоконструкции монтажного оборудования (грузопассажирские и шахтные подъемники, кран-укосина и др.) должны быть присоединены к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заземлителям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. В этом случае временные мероприятия по молниезащите на период строительства могут не выполняться. 22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2.32. Для защиты от заноса высокого потенциала по внешним наземным (надземным) металлическим коммуникациям их необходимо на вводе в здание или сооружение присоединить к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заземлителю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электроустановок или защиты от прямых ударов молний.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2.33. Защита от заноса высокого потенциала по воздушным линиям электропередачи напряжением до 1 кВ и линиям связи и сигнализации должна выполняться в соответствии с ПУЭ и ведомственными нормативными документами.</w:t>
      </w:r>
    </w:p>
    <w:p w:rsidR="00C134A1" w:rsidRPr="00C134A1" w:rsidRDefault="00C134A1" w:rsidP="00C134A1">
      <w:pPr>
        <w:spacing w:before="199" w:after="199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778899"/>
          <w:sz w:val="30"/>
          <w:szCs w:val="30"/>
          <w:lang w:eastAsia="ru-RU"/>
        </w:rPr>
      </w:pPr>
      <w:r w:rsidRPr="00C134A1">
        <w:rPr>
          <w:rFonts w:ascii="Trebuchet MS" w:eastAsia="Times New Roman" w:hAnsi="Trebuchet MS" w:cs="Times New Roman"/>
          <w:color w:val="778899"/>
          <w:sz w:val="30"/>
          <w:szCs w:val="30"/>
          <w:lang w:eastAsia="ru-RU"/>
        </w:rPr>
        <w:t>3. КОНСТРУКЦИИ МОЛНИЕОТВОДОВ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3.1. Опоры стержневых молниеотводов должны быть рассчитаны на механическую прочность как свободно стоящие конструкции, а опоры тросовых молниеотводов — с учетом натяжения троса и действия на него ветровой и гололедной нагрузок.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3.2. Опоры отдельно стоящих молниеотводов могут выполняться из стали любой марки, железобетона или дерева.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lastRenderedPageBreak/>
        <w:t xml:space="preserve">3.3. Стержневые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молниеприемники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должны быть изготовлены из стали любой марки сечением не менее 100 мм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2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и длиной не менее 200 мм и защищены от коррозии оцинкованием, лужением или окраской.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Тросовые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молниеприемники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должны быть выполнены из стальных многопроволочных канатов сечением не менее 35 мм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2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3.4. Соединения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молниеприемников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с токоотводами и токоотводов с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заземлителями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должны выполняться, как правило, сваркой, а при недопустимости огневых работ разрешается выполнение болтовых соединений с переходным сопротивлением не более 0,05 Ом при обязательном ежегодном контроле последнего перед началом грозового сезона.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3.5. Токоотводы, соединяющие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молниеприемники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всех видов с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заземлителями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, следует выполнять из стали размерами не 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менее указанных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в табл. 3.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3.6. При установке молниеотводов на защищаемом объекте и невозможности использования в качестве токоотводов металлических конструкций здания (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см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. п. 2.12) токоотводы должны быть проложены к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заземлителям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по наружным стенам здания кратчайшими путями.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3.7. Допускается использование любых конструкций железо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softHyphen/>
        <w:t xml:space="preserve">бетонных фундаментов зданий и сооружений (свайных, ленточных и т.п.) в качестве естественных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заземлителей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молниезащиты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(с учетом требований п. 1.8).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Допустимые размеры одиночных конструкций железобетонных фундаментов, используемых в качестве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заземлителей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, приведены в табл. 2. 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3.8. Рекомендуемые конструкции и размеры 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сосредоточенных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искусственных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заземлителей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приведены в табл. 2. Минимально допустимые сечения (диаметры) электродов искусственных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заземлителей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нормированы в табл. 3.</w:t>
      </w:r>
    </w:p>
    <w:p w:rsidR="00C134A1" w:rsidRPr="00C134A1" w:rsidRDefault="00C134A1" w:rsidP="00C134A1">
      <w:pPr>
        <w:spacing w:before="120" w:after="120" w:line="240" w:lineRule="auto"/>
        <w:jc w:val="right"/>
        <w:outlineLvl w:val="2"/>
        <w:rPr>
          <w:rFonts w:ascii="Trebuchet MS" w:eastAsia="Times New Roman" w:hAnsi="Trebuchet MS" w:cs="Times New Roman"/>
          <w:b/>
          <w:bCs/>
          <w:color w:val="778899"/>
          <w:sz w:val="26"/>
          <w:szCs w:val="26"/>
          <w:lang w:eastAsia="ru-RU"/>
        </w:rPr>
      </w:pPr>
      <w:r w:rsidRPr="00C134A1">
        <w:rPr>
          <w:rFonts w:ascii="Trebuchet MS" w:eastAsia="Times New Roman" w:hAnsi="Trebuchet MS" w:cs="Times New Roman"/>
          <w:b/>
          <w:bCs/>
          <w:color w:val="778899"/>
          <w:sz w:val="26"/>
          <w:szCs w:val="26"/>
          <w:lang w:eastAsia="ru-RU"/>
        </w:rPr>
        <w:t>ПРИЛОЖЕНИЕ 1</w:t>
      </w:r>
    </w:p>
    <w:p w:rsidR="00C134A1" w:rsidRPr="00C134A1" w:rsidRDefault="00C134A1" w:rsidP="00C134A1">
      <w:pPr>
        <w:spacing w:before="120" w:after="12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778899"/>
          <w:sz w:val="26"/>
          <w:szCs w:val="26"/>
          <w:lang w:eastAsia="ru-RU"/>
        </w:rPr>
      </w:pPr>
      <w:r w:rsidRPr="00C134A1">
        <w:rPr>
          <w:rFonts w:ascii="Trebuchet MS" w:eastAsia="Times New Roman" w:hAnsi="Trebuchet MS" w:cs="Times New Roman"/>
          <w:b/>
          <w:bCs/>
          <w:color w:val="778899"/>
          <w:sz w:val="26"/>
          <w:szCs w:val="26"/>
          <w:lang w:eastAsia="ru-RU"/>
        </w:rPr>
        <w:t>ОСНОВНЫЕ ТЕРМИНЫ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1. Прямой удар молнии (поражение молнией) — непосредственный контакт канала молнии 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с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зданием или сооружением, сопровождающийся протеканием через него тока молнии.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2. Вторичное проявление молнии — наведение потенциалов на металлических элементах конструкции, оборудования, в незамкнутых металлических контурах, вызванное близкими разрядами молнии и создающее опасность искрения внутри защищаемого объекта.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3. Занос высокого потенциала — перенесение в защищаемое здание или сооружение по протяженным металлическим коммуни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softHyphen/>
        <w:t>кациям (подземным, наземным и надземным трубопроводам, кабелям и т.п.) электрических потенциалов, возникающих при прямых и близких ударах молнии и создающих опасность искрения внутри защищаемого объекта.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4. Молниеотвод — устройство, воспринимающее удар молнии и отводящее ее ток в землю.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В общем случае молниеотвод состоит из опоры;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молниеприемника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, непосредственно воспринимающего удар молнии; токоотвода, по которому ток молнии передается в землю;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заземлителя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, обеспечивающего растекание тока молнии в земле.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В некоторых случаях функции опоры,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молниеприемника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и токоотвода совмещаются, 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например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при использовании в качестве молниеотвода металлических труб или ферм.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5. Зона защиты молниеотвода — пространство, внутри которого здание или сооружение защищено от прямых ударов молнии с надежностью не ниже определенного значения. Наименьшей и постоянной надежностью обладает поверхность зоны защиты; в глубине зоны защиты надежность выше, чем на ее поверхности.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lastRenderedPageBreak/>
        <w:t>Зона защиты типа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А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обладает надежностью 99,5% и выше, а тина Б — 95 % и выше.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6. Конструктивно молниеотводы разделяются на следующие виды: 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стержневые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— с вертикальным расположением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молниеприемника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; 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тросовые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(протяженные) — с горизонтальным расположением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молниеприемника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, закрепленного на двух заземленных опорах;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сетки — многократные горизонтальные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молниеприемники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, пересе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softHyphen/>
        <w:t xml:space="preserve">кающиеся под прямым углом и укладываемые 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на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защищаемого объекта.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7. Отдельно стоящие молниеотводы — это те, опоры которых установлены на земле на некотором удалении от защищаемого объекта.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8. Одиночный молниеотвод — это единичная конструкция стержневого или тросового молниеотвода.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9. Двойной (многократный) молниеотвод — это два (или более) стержневых или тросовых молниеотвода, образующих общую зону защиты.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10.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Заземлитель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молниезащиты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— один или несколько заглубленных в землю проводников, предназначенных для отвода в землю токов молнии или ограничения перенапряжений, возникающих на металлических корпусах, оборудовании, коммуникациях при близких разрядах молнии.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Заземлители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делятся на естественные и искусственные.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11. Естественные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заземлители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— заглубленные в землю метал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softHyphen/>
        <w:t>ли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softHyphen/>
        <w:t>чес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softHyphen/>
        <w:t>кие и железобетонные конструкции зданий и сооружений.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12. Искусственные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заземлители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— специально проложенные в земле контуры из полосовой или круглой стали; сосредоточенные конструкции, состоящие из вертикальных и горизонтальных проводников.</w:t>
      </w:r>
    </w:p>
    <w:p w:rsidR="00C134A1" w:rsidRPr="00C134A1" w:rsidRDefault="00C134A1" w:rsidP="00C134A1">
      <w:pPr>
        <w:spacing w:before="120" w:after="120" w:line="240" w:lineRule="auto"/>
        <w:jc w:val="right"/>
        <w:outlineLvl w:val="2"/>
        <w:rPr>
          <w:rFonts w:ascii="Trebuchet MS" w:eastAsia="Times New Roman" w:hAnsi="Trebuchet MS" w:cs="Times New Roman"/>
          <w:b/>
          <w:bCs/>
          <w:color w:val="778899"/>
          <w:sz w:val="26"/>
          <w:szCs w:val="26"/>
          <w:lang w:eastAsia="ru-RU"/>
        </w:rPr>
      </w:pPr>
      <w:r w:rsidRPr="00C134A1">
        <w:rPr>
          <w:rFonts w:ascii="Trebuchet MS" w:eastAsia="Times New Roman" w:hAnsi="Trebuchet MS" w:cs="Times New Roman"/>
          <w:b/>
          <w:bCs/>
          <w:color w:val="778899"/>
          <w:sz w:val="26"/>
          <w:szCs w:val="26"/>
          <w:lang w:eastAsia="ru-RU"/>
        </w:rPr>
        <w:t>ПРИЛОЖЕНИЕ 2</w:t>
      </w:r>
    </w:p>
    <w:p w:rsidR="00C134A1" w:rsidRPr="00C134A1" w:rsidRDefault="00C134A1" w:rsidP="00C134A1">
      <w:pPr>
        <w:spacing w:before="120" w:after="12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778899"/>
          <w:sz w:val="26"/>
          <w:szCs w:val="26"/>
          <w:lang w:eastAsia="ru-RU"/>
        </w:rPr>
      </w:pPr>
      <w:r w:rsidRPr="00C134A1">
        <w:rPr>
          <w:rFonts w:ascii="Trebuchet MS" w:eastAsia="Times New Roman" w:hAnsi="Trebuchet MS" w:cs="Times New Roman"/>
          <w:b/>
          <w:bCs/>
          <w:color w:val="778899"/>
          <w:sz w:val="26"/>
          <w:szCs w:val="26"/>
          <w:lang w:eastAsia="ru-RU"/>
        </w:rPr>
        <w:t>ХАРАКТЕРИСТИКИ ИНТЕНСИВНОСТИ ГРОЗОВОЙ ДЕЯТЕЛЬНОСТИ И ГРОЗОПОРАЖАЕМОСТИ ЗДАНИЙ И СООРУЖЕНИЙ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Среднегодовая продолжительность гроз в часах в произвольном пункте на территории СССР определяется по карте (рис. 3), или по утвержденным для некоторых областей СССР региональным картам продолжительности гроз, или 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по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средним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многолетним (порядка 10 лет) данным метеостанции, ближайшей от места нахождения здания или сооружения.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Подсчет ожидаемого количества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N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поражений молнией в год производится по формулам: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для сосредоточенных зданий и сооружений (дымовые трубы, вышки, башни)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1905000" cy="390525"/>
            <wp:effectExtent l="0" t="0" r="0" b="0"/>
            <wp:docPr id="7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;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для зданий и сооружений прямоугольной формы 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2857500" cy="352425"/>
            <wp:effectExtent l="19050" t="0" r="0" b="0"/>
            <wp:docPr id="8" name="Рисунок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,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lastRenderedPageBreak/>
        <w:t xml:space="preserve">где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— наибольшая высота здания или сооружения, м;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S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,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L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— соответственно ширина и длина здания или сооружения, м;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n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— среднегодовое число ударов молнии в 1 км земной поверхности (удельная плотность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,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ударов молнии в землю) в месте нахождения здания или сооружения. 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Для зданий и сооружений сложной конфигурации в качестве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S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и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L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рассматриваются ширина и длина наименьшего прямоугольника, в который может быть вписано здание или сооружение в плане.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Для произвольного пункта на территории СССР удельная плотность ударов молнии в землю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n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определяется исходя из среднегодовой продолжительности гроз в часах следующим образом:</w:t>
      </w:r>
    </w:p>
    <w:p w:rsidR="00C134A1" w:rsidRPr="00C134A1" w:rsidRDefault="00C134A1" w:rsidP="00C134A1">
      <w:pPr>
        <w:spacing w:after="0" w:line="240" w:lineRule="auto"/>
        <w:jc w:val="center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5257800" cy="3524250"/>
            <wp:effectExtent l="19050" t="0" r="0" b="0"/>
            <wp:docPr id="9" name="Рисунок 9" descr="Карта средней за год продолжительности гроз в часах для территории ССС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а средней за год продолжительности гроз в часах для территории СССР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Рис. 3. Карта средней за год продолжительности гроз в часах для территории СССР 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</w:p>
    <w:tbl>
      <w:tblPr>
        <w:tblW w:w="0" w:type="auto"/>
        <w:jc w:val="center"/>
        <w:tblCellSpacing w:w="0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3195"/>
        <w:gridCol w:w="3060"/>
      </w:tblGrid>
      <w:tr w:rsidR="00C134A1" w:rsidRPr="00C134A1" w:rsidTr="00C134A1">
        <w:trPr>
          <w:tblCellSpacing w:w="0" w:type="dxa"/>
          <w:jc w:val="center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DDDDDD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  <w:t xml:space="preserve">Среднегодовая продолжительность гроз, </w:t>
            </w:r>
            <w:proofErr w:type="gramStart"/>
            <w:r w:rsidRPr="00C134A1"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3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DDDDDD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  <w:t xml:space="preserve">Удельная плотность ударов молнии в землю </w:t>
            </w:r>
            <w:proofErr w:type="spellStart"/>
            <w:r w:rsidRPr="00C134A1"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  <w:t>n</w:t>
            </w:r>
            <w:proofErr w:type="spellEnd"/>
            <w:r w:rsidRPr="00C134A1">
              <w:rPr>
                <w:rFonts w:ascii="Trebuchet MS" w:eastAsia="Times New Roman" w:hAnsi="Trebuchet MS" w:cs="Times New Roman"/>
                <w:b/>
                <w:bCs/>
                <w:color w:val="292421"/>
                <w:sz w:val="24"/>
                <w:szCs w:val="24"/>
                <w:lang w:eastAsia="ru-RU"/>
              </w:rPr>
              <w:t>, 1/(км2xгод)</w:t>
            </w:r>
          </w:p>
        </w:tc>
      </w:tr>
      <w:tr w:rsidR="00C134A1" w:rsidRPr="00C134A1" w:rsidTr="00C134A1">
        <w:trPr>
          <w:tblCellSpacing w:w="0" w:type="dxa"/>
          <w:jc w:val="center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10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 xml:space="preserve"> — 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1</w:t>
            </w:r>
          </w:p>
        </w:tc>
      </w:tr>
      <w:tr w:rsidR="00C134A1" w:rsidRPr="00C134A1" w:rsidTr="00C134A1">
        <w:trPr>
          <w:tblCellSpacing w:w="0" w:type="dxa"/>
          <w:jc w:val="center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20 — 40</w:t>
            </w:r>
          </w:p>
        </w:tc>
        <w:tc>
          <w:tcPr>
            <w:tcW w:w="3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2</w:t>
            </w:r>
          </w:p>
        </w:tc>
      </w:tr>
      <w:tr w:rsidR="00C134A1" w:rsidRPr="00C134A1" w:rsidTr="00C134A1">
        <w:trPr>
          <w:tblCellSpacing w:w="0" w:type="dxa"/>
          <w:jc w:val="center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40 — 60</w:t>
            </w:r>
          </w:p>
        </w:tc>
        <w:tc>
          <w:tcPr>
            <w:tcW w:w="3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4</w:t>
            </w:r>
          </w:p>
        </w:tc>
      </w:tr>
      <w:tr w:rsidR="00C134A1" w:rsidRPr="00C134A1" w:rsidTr="00C134A1">
        <w:trPr>
          <w:tblCellSpacing w:w="0" w:type="dxa"/>
          <w:jc w:val="center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60 — 80</w:t>
            </w:r>
          </w:p>
        </w:tc>
        <w:tc>
          <w:tcPr>
            <w:tcW w:w="3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5,5</w:t>
            </w:r>
          </w:p>
        </w:tc>
      </w:tr>
      <w:tr w:rsidR="00C134A1" w:rsidRPr="00C134A1" w:rsidTr="00C134A1">
        <w:trPr>
          <w:tblCellSpacing w:w="0" w:type="dxa"/>
          <w:jc w:val="center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80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val="en-US" w:eastAsia="ru-RU"/>
              </w:rPr>
              <w:t xml:space="preserve"> — </w:t>
            </w: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7</w:t>
            </w:r>
          </w:p>
        </w:tc>
      </w:tr>
      <w:tr w:rsidR="00C134A1" w:rsidRPr="00C134A1" w:rsidTr="00C134A1">
        <w:trPr>
          <w:tblCellSpacing w:w="0" w:type="dxa"/>
          <w:jc w:val="center"/>
        </w:trPr>
        <w:tc>
          <w:tcPr>
            <w:tcW w:w="31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100 и более</w:t>
            </w:r>
          </w:p>
        </w:tc>
        <w:tc>
          <w:tcPr>
            <w:tcW w:w="30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shd w:val="clear" w:color="auto" w:fill="FFFFFF"/>
            <w:hideMark/>
          </w:tcPr>
          <w:p w:rsidR="00C134A1" w:rsidRPr="00C134A1" w:rsidRDefault="00C134A1" w:rsidP="00C134A1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</w:pPr>
            <w:r w:rsidRPr="00C134A1">
              <w:rPr>
                <w:rFonts w:ascii="Trebuchet MS" w:eastAsia="Times New Roman" w:hAnsi="Trebuchet MS" w:cs="Times New Roman"/>
                <w:color w:val="292421"/>
                <w:sz w:val="24"/>
                <w:szCs w:val="24"/>
                <w:lang w:eastAsia="ru-RU"/>
              </w:rPr>
              <w:t>8,5</w:t>
            </w:r>
          </w:p>
        </w:tc>
      </w:tr>
    </w:tbl>
    <w:p w:rsidR="00C134A1" w:rsidRPr="00C134A1" w:rsidRDefault="00C134A1" w:rsidP="00C134A1">
      <w:pPr>
        <w:spacing w:before="120" w:after="120" w:line="240" w:lineRule="auto"/>
        <w:jc w:val="right"/>
        <w:outlineLvl w:val="2"/>
        <w:rPr>
          <w:rFonts w:ascii="Trebuchet MS" w:eastAsia="Times New Roman" w:hAnsi="Trebuchet MS" w:cs="Times New Roman"/>
          <w:b/>
          <w:bCs/>
          <w:color w:val="778899"/>
          <w:sz w:val="26"/>
          <w:szCs w:val="26"/>
          <w:lang w:eastAsia="ru-RU"/>
        </w:rPr>
      </w:pPr>
      <w:r w:rsidRPr="00C134A1">
        <w:rPr>
          <w:rFonts w:ascii="Trebuchet MS" w:eastAsia="Times New Roman" w:hAnsi="Trebuchet MS" w:cs="Times New Roman"/>
          <w:b/>
          <w:bCs/>
          <w:color w:val="778899"/>
          <w:sz w:val="26"/>
          <w:szCs w:val="26"/>
          <w:lang w:eastAsia="ru-RU"/>
        </w:rPr>
        <w:t xml:space="preserve">ПРИЛОЖЕНИЕ 3 </w:t>
      </w:r>
    </w:p>
    <w:p w:rsidR="00C134A1" w:rsidRPr="00C134A1" w:rsidRDefault="00C134A1" w:rsidP="00C134A1">
      <w:pPr>
        <w:spacing w:before="120" w:after="12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778899"/>
          <w:sz w:val="26"/>
          <w:szCs w:val="26"/>
          <w:lang w:eastAsia="ru-RU"/>
        </w:rPr>
      </w:pPr>
      <w:r w:rsidRPr="00C134A1">
        <w:rPr>
          <w:rFonts w:ascii="Trebuchet MS" w:eastAsia="Times New Roman" w:hAnsi="Trebuchet MS" w:cs="Times New Roman"/>
          <w:b/>
          <w:bCs/>
          <w:color w:val="778899"/>
          <w:sz w:val="26"/>
          <w:szCs w:val="26"/>
          <w:lang w:eastAsia="ru-RU"/>
        </w:rPr>
        <w:t>ЗОНЫ ЗАЩИТЫ МОЛНИЕОТВОДОВ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1. Одиночный стержневой молниеотвод.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Зона защиты одиночного стержневого молниеотвода высотой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представляет собой круговой конус (рис. П3.1), вершина которого находится на высоте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0&lt;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h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. На уровне земли зона защиты образует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lastRenderedPageBreak/>
        <w:t xml:space="preserve">круг радиусом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r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0. Горизонтальное сечение зоны защиты на высоте защищаемого сооружения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hx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представляет собой круг радиусом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rx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1.1. Зоны защиты одиночных стержневых молниеотводов высотой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h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&lt;=150 м имеют следующие габаритные размеры.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Зона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 xml:space="preserve"> A: h0 = 0,85h, 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r0 = (1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,1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 xml:space="preserve"> — 0,002h)h, 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</w:pPr>
      <w:proofErr w:type="spellStart"/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rx</w:t>
      </w:r>
      <w:proofErr w:type="spellEnd"/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 xml:space="preserve"> = (1,1 — 0,002h)(h —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hx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/0,85).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Зона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 xml:space="preserve">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Б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 xml:space="preserve">: h0 = 0,92h; 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r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0 = 1,5h; 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proofErr w:type="spellStart"/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rx</w:t>
      </w:r>
      <w:proofErr w:type="spellEnd"/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=1,5(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h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—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hx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/0,92). 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Для зоны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Б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высота одиночного стержневого молниеотвода при известных значениях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и может быть определена по формуле </w:t>
      </w:r>
    </w:p>
    <w:p w:rsidR="00C134A1" w:rsidRPr="00C134A1" w:rsidRDefault="00C134A1" w:rsidP="00C134A1">
      <w:pPr>
        <w:spacing w:after="240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h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= (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rx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+ 1,63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hx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)/1,5. </w:t>
      </w:r>
    </w:p>
    <w:p w:rsidR="00C134A1" w:rsidRPr="00C134A1" w:rsidRDefault="00C134A1" w:rsidP="00C134A1">
      <w:pPr>
        <w:spacing w:after="0" w:line="240" w:lineRule="auto"/>
        <w:jc w:val="center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2257425" cy="2838450"/>
            <wp:effectExtent l="19050" t="0" r="9525" b="0"/>
            <wp:docPr id="10" name="Рисунок 10" descr="Зона защиты одиночного стержневого молниеот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она защиты одиночного стержневого молниеотвод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Рис. П3.1. Зона защиты одиночного стержневого молниеотвода: 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I — граница зоны защиты на уровне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hx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, 2 -то же на уровне земли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1.2. Зоны защиты одиночных стержневых молниеотводов высоток 150 &lt;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&lt; 600 м имеют следующие габаритные размеры. 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Зона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А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:</w:t>
      </w:r>
    </w:p>
    <w:p w:rsidR="00C134A1" w:rsidRPr="00C134A1" w:rsidRDefault="00C134A1" w:rsidP="00C134A1">
      <w:pPr>
        <w:spacing w:after="0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1733550" cy="247650"/>
            <wp:effectExtent l="19050" t="0" r="0" b="0"/>
            <wp:docPr id="11" name="Рисунок 11" descr="http://www.manbw.ru/images/analit/i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nbw.ru/images/analit/io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1790700" cy="276225"/>
            <wp:effectExtent l="19050" t="0" r="0" b="0"/>
            <wp:docPr id="12" name="Рисунок 12" descr="http://www.manbw.ru/images/analit/i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nbw.ru/images/analit/io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3714750" cy="542925"/>
            <wp:effectExtent l="19050" t="0" r="0" b="0"/>
            <wp:docPr id="13" name="Рисунок 13" descr="http://www.manbw.ru/images/analit/i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nbw.ru/images/analit/io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lastRenderedPageBreak/>
        <w:t>Зона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Б</w:t>
      </w:r>
      <w:proofErr w:type="gramEnd"/>
    </w:p>
    <w:p w:rsidR="00C134A1" w:rsidRPr="00C134A1" w:rsidRDefault="00C134A1" w:rsidP="00C134A1">
      <w:pPr>
        <w:spacing w:after="0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1914525" cy="276225"/>
            <wp:effectExtent l="19050" t="0" r="9525" b="0"/>
            <wp:docPr id="14" name="Рисунок 14" descr="http://www.manbw.ru/images/analit/i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nbw.ru/images/analit/io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647700" cy="228600"/>
            <wp:effectExtent l="19050" t="0" r="0" b="0"/>
            <wp:docPr id="15" name="Рисунок 15" descr="http://www.manbw.ru/images/analit/i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nbw.ru/images/analit/io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2295525" cy="476250"/>
            <wp:effectExtent l="19050" t="0" r="9525" b="0"/>
            <wp:docPr id="16" name="Рисунок 16" descr="http://www.manbw.ru/images/analit/i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nbw.ru/images/analit/io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2. Двойной стержневой молниеотвод.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2.1. Зона защиты двойного стержневого молниеотвода высотой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&lt;=150 м представлена на рис. П3.2. Торцевые области зоны защиты определяются как зоны одиночных стержневых молниеотводов, габаритные размеры которых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0, r0,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r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x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1,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rx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2 определяются по формулам п. 1.1 настоящего приложения для обоих типов зон защиты.</w:t>
      </w:r>
    </w:p>
    <w:p w:rsidR="00C134A1" w:rsidRPr="00C134A1" w:rsidRDefault="00C134A1" w:rsidP="00C134A1">
      <w:pPr>
        <w:spacing w:after="0" w:line="240" w:lineRule="auto"/>
        <w:jc w:val="center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3962400" cy="2447925"/>
            <wp:effectExtent l="19050" t="0" r="0" b="0"/>
            <wp:docPr id="17" name="Рисунок 17" descr="Зона защиты двойного стержневого молниеотвода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на защиты двойного стержневого молниеотвода: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</w:p>
    <w:p w:rsidR="00C134A1" w:rsidRPr="00C134A1" w:rsidRDefault="00C134A1" w:rsidP="00C134A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Рис. П3.2. Зона защиты двойного стержневого молниеотвода: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1 — граница зоны защиты на уровне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hx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1; 2 -то же на уровне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hx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2, 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3 -то же на уровне земли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Внутренние области зон защиты двойного стержневого молниеотвода имеют следующие габаритные размеры. 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Зона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А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: 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при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 xml:space="preserve">L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&lt;=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</w:t>
      </w:r>
    </w:p>
    <w:p w:rsidR="00C134A1" w:rsidRPr="00C134A1" w:rsidRDefault="00C134A1" w:rsidP="00C134A1">
      <w:pPr>
        <w:spacing w:after="0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1981200" cy="266700"/>
            <wp:effectExtent l="19050" t="0" r="0" b="0"/>
            <wp:docPr id="18" name="Рисунок 18" descr="http://www.manbw.ru/images/analit/i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nbw.ru/images/analit/io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A1" w:rsidRPr="00C134A1" w:rsidRDefault="00C134A1" w:rsidP="00C134A1">
      <w:pPr>
        <w:spacing w:after="0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390525" cy="228600"/>
            <wp:effectExtent l="19050" t="0" r="9525" b="0"/>
            <wp:docPr id="19" name="Рисунок 19" descr="http://www.manbw.ru/images/analit/i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nbw.ru/images/analit/io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A1" w:rsidRPr="00C134A1" w:rsidRDefault="00C134A1" w:rsidP="00C134A1">
      <w:pPr>
        <w:spacing w:after="240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1162050" cy="276225"/>
            <wp:effectExtent l="19050" t="0" r="0" b="0"/>
            <wp:docPr id="20" name="Рисунок 20" descr="http://www.manbw.ru/images/analit/io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manbw.ru/images/analit/io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при 2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&lt;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L &lt;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4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</w:t>
      </w:r>
    </w:p>
    <w:p w:rsidR="00C134A1" w:rsidRPr="00C134A1" w:rsidRDefault="00C134A1" w:rsidP="00C134A1">
      <w:pPr>
        <w:spacing w:after="0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lastRenderedPageBreak/>
        <w:drawing>
          <wp:inline distT="0" distB="0" distL="0" distR="0">
            <wp:extent cx="1962150" cy="276225"/>
            <wp:effectExtent l="19050" t="0" r="0" b="0"/>
            <wp:docPr id="21" name="Рисунок 21" descr="http://www.manbw.ru/images/analit/io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nbw.ru/images/analit/io1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1409700" cy="466725"/>
            <wp:effectExtent l="19050" t="0" r="0" b="0"/>
            <wp:docPr id="22" name="Рисунок 22" descr="http://www.manbw.ru/images/analit/io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nbw.ru/images/analit/io1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1162050" cy="276225"/>
            <wp:effectExtent l="19050" t="0" r="0" b="0"/>
            <wp:docPr id="23" name="Рисунок 23" descr="http://www.manbw.ru/images/analit/i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manbw.ru/images/analit/io1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При расстоянии между стержневыми молниеотводами L &gt; 4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для построения зоны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А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молниеотводы следует рассматривать как одиночные. 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Зона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Б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: 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при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L &lt;= h</w:t>
      </w:r>
    </w:p>
    <w:p w:rsidR="00C134A1" w:rsidRPr="00C134A1" w:rsidRDefault="00C134A1" w:rsidP="00C134A1">
      <w:pPr>
        <w:spacing w:after="0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438150" cy="228600"/>
            <wp:effectExtent l="19050" t="0" r="0" b="0"/>
            <wp:docPr id="24" name="Рисунок 24" descr="http://www.manbw.ru/images/analit/io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nbw.ru/images/analit/io1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390525" cy="228600"/>
            <wp:effectExtent l="19050" t="0" r="9525" b="0"/>
            <wp:docPr id="25" name="Рисунок 25" descr="http://www.manbw.ru/images/analit/io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nbw.ru/images/analit/io14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457200" cy="228600"/>
            <wp:effectExtent l="19050" t="0" r="0" b="0"/>
            <wp:docPr id="26" name="Рисунок 26" descr="http://www.manbw.ru/images/analit/i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manbw.ru/images/analit/io15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при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&lt;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L &lt;=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6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</w:t>
      </w:r>
    </w:p>
    <w:p w:rsidR="00C134A1" w:rsidRPr="00C134A1" w:rsidRDefault="00C134A1" w:rsidP="00C134A1">
      <w:pPr>
        <w:spacing w:after="240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1257300" cy="238125"/>
            <wp:effectExtent l="19050" t="0" r="0" b="0"/>
            <wp:docPr id="27" name="Рисунок 27" descr="http://www.manbw.ru/images/analit/io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nbw.ru/images/analit/io16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390525" cy="228600"/>
            <wp:effectExtent l="19050" t="0" r="9525" b="0"/>
            <wp:docPr id="28" name="Рисунок 28" descr="http://www.manbw.ru/images/analit/io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nbw.ru/images/analit/io17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1162050" cy="276225"/>
            <wp:effectExtent l="19050" t="0" r="0" b="0"/>
            <wp:docPr id="29" name="Рисунок 29" descr="http://www.manbw.ru/images/analit/io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nbw.ru/images/analit/io18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При расстоянии между стрежневыми молниеотводами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L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&gt; 6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для построения зоны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Б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молниеотводы следует рассматривать как одиночные.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При известных значениях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hc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и L (при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rcx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= 0) высота молниеотвода для зоны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Б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определяется по формуле 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h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= (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hc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+ 0,14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L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) /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l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,06.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2.2. Зона защиты двух стержневых молниеотводов разной высоты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1, и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2 &lt;= 150 м приведена на рис. ПЗ.З. Габаритные размеры торцевых областей зон защиты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01,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02,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r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01,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r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02,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rx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1,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rx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2 определяются по формулам п. 1.1, как для зон защиты обоих типов одиночного стержневого молниеотвода. Габаритные размеры внутренней области зоны защиты определяются по формулам:</w:t>
      </w:r>
    </w:p>
    <w:p w:rsidR="00C134A1" w:rsidRPr="00C134A1" w:rsidRDefault="00C134A1" w:rsidP="00C134A1">
      <w:pPr>
        <w:spacing w:after="240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1066800" cy="266700"/>
            <wp:effectExtent l="19050" t="0" r="0" b="0"/>
            <wp:docPr id="30" name="Рисунок 30" descr="http://www.manbw.ru/images/analit/io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nbw.ru/images/analit/io19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952500" cy="228600"/>
            <wp:effectExtent l="19050" t="0" r="0" b="0"/>
            <wp:docPr id="31" name="Рисунок 31" descr="http://www.manbw.ru/images/analit/io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nbw.ru/images/analit/io20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1162050" cy="276225"/>
            <wp:effectExtent l="19050" t="0" r="0" b="0"/>
            <wp:docPr id="32" name="Рисунок 32" descr="http://www.manbw.ru/images/analit/io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anbw.ru/images/analit/io2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где значения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hc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1 и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hc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2 вычисляются по формулам для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hc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п. 2.1 настоящего приложения.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Для двух молниеотводов разной высоты построение зоны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А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двойного стержневого молниеотвода выполняется при L &lt;= 4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hmin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, а зоны Б — при L &lt;= 6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hmin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. При соответствующих больших расстояниях между молниеотводами они рассматриваются как одиночные.</w:t>
      </w:r>
    </w:p>
    <w:p w:rsidR="00C134A1" w:rsidRPr="00C134A1" w:rsidRDefault="00C134A1" w:rsidP="00C134A1">
      <w:pPr>
        <w:spacing w:after="0" w:line="240" w:lineRule="auto"/>
        <w:jc w:val="center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lastRenderedPageBreak/>
        <w:drawing>
          <wp:inline distT="0" distB="0" distL="0" distR="0">
            <wp:extent cx="3905250" cy="3038475"/>
            <wp:effectExtent l="19050" t="0" r="0" b="0"/>
            <wp:docPr id="33" name="Рисунок 33" descr="Зона зашиты двух стержневых молниеотводов разной выс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Зона зашиты двух стержневых молниеотводов разной высоты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Рис. ПЗ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.З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Зона зашиты двух стержневых молниеотводов разной высоты. Обозначения те же, что и на рис. П3.1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3. Многократный стержневой молниеотвод.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Зона защиты многократного стержневого молниеотвода (рис. П3.4) определяется как зона защиты попарно взятых соседних стержневых молниеотводов высотой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&lt;= 150 м (см.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пп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. 2.1, 2.2 настоящего приложения).</w:t>
      </w:r>
    </w:p>
    <w:p w:rsidR="00C134A1" w:rsidRPr="00C134A1" w:rsidRDefault="00C134A1" w:rsidP="00C134A1">
      <w:pPr>
        <w:spacing w:after="0" w:line="240" w:lineRule="auto"/>
        <w:jc w:val="center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2305050" cy="2171700"/>
            <wp:effectExtent l="19050" t="0" r="0" b="0"/>
            <wp:docPr id="34" name="Рисунок 34" descr="Зона защиты (в плане) многократного стержневого молниеот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Зона защиты (в плане) многократного стержневого молниеотвода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Рис. П3.4. Зона защиты (в плане) многократного стержневого молниеотвода. Обозначения те же, что и на рис. П3.1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Основным условием защищенности одного или нескольких объектов высотой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hx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с надежностью, соответствующей надежности зоны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А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и зоны Б, является выполнение неравенства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rcx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&gt; 0 для всех попарно взятых молниеотводов. В противном случае построение зон защиты должно быть выполнено для одиночных или двойных стержневых молниеотводов в зависимости от выполнения условий п. 2 настоящего приложения. 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4. Одиночный тросовый молниеотвод.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Зона защиты одиночного тросового молниеотвода высотой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h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&lt;=150 м приведена на рис. П3.5, где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h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— высота троса в середине пролета. С учетом стрелы провеса троса сечением 35—50 мм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2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при известной высоте опор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оп и длине пролета </w:t>
      </w:r>
      <w:r w:rsidRPr="00C134A1">
        <w:rPr>
          <w:rFonts w:ascii="Trebuchet MS" w:eastAsia="Times New Roman" w:hAnsi="Trebuchet MS" w:cs="Times New Roman"/>
          <w:i/>
          <w:iCs/>
          <w:color w:val="292421"/>
          <w:sz w:val="20"/>
          <w:lang w:eastAsia="ru-RU"/>
        </w:rPr>
        <w:t>а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высота троса (в метрах) определяется: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lastRenderedPageBreak/>
        <w:t>h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=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оп — 2 при а &lt; 120 м;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=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оп — 3 при 120 &lt; а &lt; 15Ом. </w:t>
      </w:r>
    </w:p>
    <w:p w:rsidR="00C134A1" w:rsidRPr="00C134A1" w:rsidRDefault="00C134A1" w:rsidP="00C134A1">
      <w:pPr>
        <w:spacing w:after="0" w:line="240" w:lineRule="auto"/>
        <w:jc w:val="center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3790950" cy="2238375"/>
            <wp:effectExtent l="19050" t="0" r="0" b="0"/>
            <wp:docPr id="35" name="Рисунок 35" descr="Зона защиты одиночного тросового молниеот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Зона защиты одиночного тросового молниеотвода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Рис. П3.5. Зона защиты одиночного тросового молниеотвода. Обозначения те же, что и на рис. П3.1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Зоны защиты одиночного тросового молниеотвода имеют следующие габаритные размеры. 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Зона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А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: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657225" cy="228600"/>
            <wp:effectExtent l="19050" t="0" r="9525" b="0"/>
            <wp:docPr id="36" name="Рисунок 36" descr="http://www.manbw.ru/images/analit/io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nbw.ru/images/analit/io22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1333500" cy="238125"/>
            <wp:effectExtent l="19050" t="0" r="0" b="0"/>
            <wp:docPr id="37" name="Рисунок 37" descr="http://www.manbw.ru/images/analit/io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anbw.ru/images/analit/io23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2066925" cy="276225"/>
            <wp:effectExtent l="19050" t="0" r="9525" b="0"/>
            <wp:docPr id="38" name="Рисунок 38" descr="http://www.manbw.ru/images/analit/io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anbw.ru/images/analit/io24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Зона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Б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: </w:t>
      </w:r>
    </w:p>
    <w:p w:rsidR="00C134A1" w:rsidRPr="00C134A1" w:rsidRDefault="00C134A1" w:rsidP="00C134A1">
      <w:pPr>
        <w:spacing w:after="0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657225" cy="228600"/>
            <wp:effectExtent l="19050" t="0" r="9525" b="0"/>
            <wp:docPr id="39" name="Рисунок 39" descr="http://www.manbw.ru/images/analit/io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manbw.ru/images/analit/io25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533400" cy="228600"/>
            <wp:effectExtent l="19050" t="0" r="0" b="0"/>
            <wp:docPr id="40" name="Рисунок 40" descr="http://www.manbw.ru/images/analit/io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anbw.ru/images/analit/io26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1276350" cy="276225"/>
            <wp:effectExtent l="19050" t="0" r="0" b="0"/>
            <wp:docPr id="41" name="Рисунок 41" descr="http://www.manbw.ru/images/analit/io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anbw.ru/images/analit/io27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Для зоны типа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Б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высота одиночного тросового молниеотвода при известных значениях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hx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и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rx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определяется по формуле</w:t>
      </w:r>
    </w:p>
    <w:p w:rsidR="00C134A1" w:rsidRPr="00C134A1" w:rsidRDefault="00C134A1" w:rsidP="00C134A1">
      <w:pPr>
        <w:spacing w:after="0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1257300" cy="276225"/>
            <wp:effectExtent l="19050" t="0" r="0" b="0"/>
            <wp:docPr id="42" name="Рисунок 42" descr="http://www.manbw.ru/images/analit/io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manbw.ru/images/analit/io28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5. Двойной тросовый молниеотвод.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5.1. Зона защиты двойного тросового молниеотвода высотой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h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&lt;=150 м приведена на рис. П3.6. Размеры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r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0,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0,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rx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для зон защиты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А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и Б определяются по соответствующим формулам п. 4 настоящего приложения. Остальные размеры зон определяются следующим образом.</w:t>
      </w:r>
    </w:p>
    <w:p w:rsidR="00C134A1" w:rsidRPr="00C134A1" w:rsidRDefault="00C134A1" w:rsidP="00C134A1">
      <w:pPr>
        <w:spacing w:after="0" w:line="240" w:lineRule="auto"/>
        <w:jc w:val="center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lastRenderedPageBreak/>
        <w:drawing>
          <wp:inline distT="0" distB="0" distL="0" distR="0">
            <wp:extent cx="3990975" cy="2724150"/>
            <wp:effectExtent l="19050" t="0" r="9525" b="0"/>
            <wp:docPr id="43" name="Рисунок 43" descr="Зона защиты двойного тросового молниеот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Зона защиты двойного тросового молниеотвода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Рис. ПЗ.6. Зона защиты двойного тросового молниеотвода. Обозначения те же, 410 и на рис. П3.2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 xml:space="preserve"> 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Зона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А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: 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при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 xml:space="preserve"> L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&lt;=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 xml:space="preserve"> h </w:t>
      </w:r>
    </w:p>
    <w:p w:rsidR="00C134A1" w:rsidRPr="00C134A1" w:rsidRDefault="00C134A1" w:rsidP="00C134A1">
      <w:pPr>
        <w:spacing w:after="240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438150" cy="228600"/>
            <wp:effectExtent l="19050" t="0" r="0" b="0"/>
            <wp:docPr id="44" name="Рисунок 44" descr="http://www.manbw.ru/images/analit/io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manbw.ru/images/analit/io29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390525" cy="228600"/>
            <wp:effectExtent l="19050" t="0" r="9525" b="0"/>
            <wp:docPr id="45" name="Рисунок 45" descr="http://www.manbw.ru/images/analit/io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manbw.ru/images/analit/io3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457200" cy="228600"/>
            <wp:effectExtent l="19050" t="0" r="0" b="0"/>
            <wp:docPr id="46" name="Рисунок 46" descr="http://www.manbw.ru/images/analit/io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manbw.ru/images/analit/io31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A1" w:rsidRPr="00C134A1" w:rsidRDefault="00C134A1" w:rsidP="00C134A1">
      <w:pPr>
        <w:spacing w:after="0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при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&lt;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L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&lt;= 2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</w:t>
      </w:r>
    </w:p>
    <w:p w:rsidR="00C134A1" w:rsidRPr="00C134A1" w:rsidRDefault="00C134A1" w:rsidP="00C134A1">
      <w:pPr>
        <w:spacing w:after="240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1981200" cy="276225"/>
            <wp:effectExtent l="19050" t="0" r="0" b="0"/>
            <wp:docPr id="47" name="Рисунок 47" descr="http://www.manbw.ru/images/analit/io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manbw.ru/images/analit/io32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885825" cy="438150"/>
            <wp:effectExtent l="19050" t="0" r="9525" b="0"/>
            <wp:docPr id="48" name="Рисунок 48" descr="http://www.manbw.ru/images/analit/io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manbw.ru/images/analit/io33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1162050" cy="266700"/>
            <wp:effectExtent l="19050" t="0" r="0" b="0"/>
            <wp:docPr id="49" name="Рисунок 49" descr="http://www.manbw.ru/images/analit/io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anbw.ru/images/analit/io34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390525" cy="228600"/>
            <wp:effectExtent l="19050" t="0" r="9525" b="0"/>
            <wp:docPr id="50" name="Рисунок 50" descr="http://www.manbw.ru/images/analit/io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manbw.ru/images/analit/io35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  <w:t>при 2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&lt;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L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&lt;= 4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1981200" cy="276225"/>
            <wp:effectExtent l="19050" t="0" r="0" b="0"/>
            <wp:docPr id="51" name="Рисунок 51" descr="http://www.manbw.ru/images/analit/io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manbw.ru/images/analit/io36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885825" cy="438150"/>
            <wp:effectExtent l="19050" t="0" r="9525" b="0"/>
            <wp:docPr id="52" name="Рисунок 52" descr="http://www.manbw.ru/images/analit/io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anbw.ru/images/analit/io37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1162050" cy="276225"/>
            <wp:effectExtent l="19050" t="0" r="0" b="0"/>
            <wp:docPr id="53" name="Рисунок 53" descr="http://www.manbw.ru/images/analit/io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manbw.ru/images/analit/io3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1409700" cy="466725"/>
            <wp:effectExtent l="19050" t="0" r="0" b="0"/>
            <wp:docPr id="54" name="Рисунок 54" descr="http://www.manbw.ru/images/analit/io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manbw.ru/images/analit/io3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При расстоянии между тросовыми молниеотводами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L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&gt; 4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для построения зоны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А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молниеотводы следует рассматривать как одиночные. 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Зона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Б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: 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при L &lt;=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</w:t>
      </w:r>
    </w:p>
    <w:p w:rsidR="00C134A1" w:rsidRPr="00C134A1" w:rsidRDefault="00C134A1" w:rsidP="00C134A1">
      <w:pPr>
        <w:spacing w:after="0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lastRenderedPageBreak/>
        <w:br/>
      </w: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438150" cy="228600"/>
            <wp:effectExtent l="19050" t="0" r="0" b="0"/>
            <wp:docPr id="55" name="Рисунок 55" descr="http://www.manbw.ru/images/analit/io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manbw.ru/images/analit/io4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390525" cy="228600"/>
            <wp:effectExtent l="19050" t="0" r="9525" b="0"/>
            <wp:docPr id="56" name="Рисунок 56" descr="http://www.manbw.ru/images/analit/io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manbw.ru/images/analit/io4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457200" cy="228600"/>
            <wp:effectExtent l="19050" t="0" r="0" b="0"/>
            <wp:docPr id="57" name="Рисунок 57" descr="http://www.manbw.ru/images/analit/io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manbw.ru/images/analit/io42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при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 xml:space="preserve"> h &lt; L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&lt;=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 xml:space="preserve"> 6h </w:t>
      </w:r>
    </w:p>
    <w:p w:rsidR="00C134A1" w:rsidRPr="00C134A1" w:rsidRDefault="00C134A1" w:rsidP="00C134A1">
      <w:pPr>
        <w:spacing w:after="0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1257300" cy="238125"/>
            <wp:effectExtent l="19050" t="0" r="0" b="0"/>
            <wp:docPr id="58" name="Рисунок 58" descr="http://www.manbw.ru/images/analit/io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manbw.ru/images/analit/io43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885825" cy="438150"/>
            <wp:effectExtent l="19050" t="0" r="9525" b="0"/>
            <wp:docPr id="59" name="Рисунок 59" descr="http://www.manbw.ru/images/analit/io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manbw.ru/images/analit/io44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1162050" cy="266700"/>
            <wp:effectExtent l="19050" t="0" r="0" b="0"/>
            <wp:docPr id="60" name="Рисунок 60" descr="http://www.manbw.ru/images/analit/io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manbw.ru/images/analit/io45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390525" cy="228600"/>
            <wp:effectExtent l="19050" t="0" r="9525" b="0"/>
            <wp:docPr id="61" name="Рисунок 61" descr="http://www.manbw.ru/images/analit/io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manbw.ru/images/analit/io46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При расстоянии между тросовыми молниеотводами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L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&gt; 6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для построения зоны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Б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молниеотводы следует рассматривать как одиночные. При известных значениях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hc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и L (при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rcx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= 0) высота тросового молниеотвода для зоны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Б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определяется по формуле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h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= (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hc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+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 xml:space="preserve"> 0,12L)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/1,06.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2181225" cy="3400425"/>
            <wp:effectExtent l="19050" t="0" r="9525" b="0"/>
            <wp:docPr id="62" name="Рисунок 62" descr="Зона защиты двух тросовых молниеотводов разной выс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Зона защиты двух тросовых молниеотводов разной высоты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Рис. П3.7. Зона защиты двух тросовых молниеотводов разной высоты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5.2. Зона защиты двух тросов разной высоты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1 и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2 приведена на рис. П3.7. Значения r01, r02, h01,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02, rx1,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rx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2 определяются по формулам п. 4 настоящего приложения как для одиночного тросового молниеотвода. Для определения размеров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rc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и 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с используются формулы:</w:t>
      </w:r>
    </w:p>
    <w:p w:rsidR="00C134A1" w:rsidRPr="00C134A1" w:rsidRDefault="00C134A1" w:rsidP="00C134A1">
      <w:pPr>
        <w:spacing w:after="0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990600" cy="228600"/>
            <wp:effectExtent l="19050" t="0" r="0" b="0"/>
            <wp:docPr id="63" name="Рисунок 63" descr="http://www.manbw.ru/images/analit/io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manbw.ru/images/analit/io47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1066800" cy="228600"/>
            <wp:effectExtent l="19050" t="0" r="0" b="0"/>
            <wp:docPr id="64" name="Рисунок 64" descr="http://www.manbw.ru/images/analit/io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manbw.ru/images/analit/io48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где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hc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1 и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hc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2 вычисляются по формулам для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hc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П.5.1 настоящего приложения. 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lastRenderedPageBreak/>
        <w:t xml:space="preserve">Далее по формулам того же п. 4 вычисляются          </w:t>
      </w: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190500" cy="228600"/>
            <wp:effectExtent l="19050" t="0" r="0" b="0"/>
            <wp:docPr id="65" name="Рисунок 65" descr="http://www.manbw.ru/images/analit/io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manbw.ru/images/analit/io49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200025" cy="228600"/>
            <wp:effectExtent l="19050" t="0" r="9525" b="0"/>
            <wp:docPr id="66" name="Рисунок 66" descr="http://www.manbw.ru/images/analit/io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manbw.ru/images/analit/io50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190500" cy="228600"/>
            <wp:effectExtent l="19050" t="0" r="0" b="0"/>
            <wp:docPr id="67" name="Рисунок 67" descr="http://www.manbw.ru/images/analit/io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manbw.ru/images/analit/io51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A1" w:rsidRPr="00C134A1" w:rsidRDefault="00C134A1" w:rsidP="00C134A1">
      <w:pPr>
        <w:spacing w:before="120" w:after="12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778899"/>
          <w:sz w:val="26"/>
          <w:szCs w:val="26"/>
          <w:lang w:eastAsia="ru-RU"/>
        </w:rPr>
      </w:pPr>
      <w:r w:rsidRPr="00C134A1">
        <w:rPr>
          <w:rFonts w:ascii="Trebuchet MS" w:eastAsia="Times New Roman" w:hAnsi="Trebuchet MS" w:cs="Times New Roman"/>
          <w:color w:val="778899"/>
          <w:sz w:val="26"/>
          <w:szCs w:val="26"/>
          <w:lang w:eastAsia="ru-RU"/>
        </w:rPr>
        <w:t>2. ХАРАКТЕРИСТИКИ ГРОЗОВОЙ ДЕЯТЕЛЬНОСТИ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Об интенсивности грозовой деятельности в различных географических пунктах можно судить по данным разветвленной сети метеорологических станций о повторяемости и продолжительности гроз, регистрируемых в днях и часах за год по слышимому грому в начале и конце грозы. Однако более важной и информативной характеристикой для оценки возможного числа поражений объектов молнией является плотность ударов нисходящих молний на единицу земной поверхности.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Плотность ударов молнии в землю сильно колеблется по регионам земного шара и зависит от геологических, климатических и других факторов. При общей тенденции роста этого значения от полюсов к экватору оно, например, резко сокращается в пустынях и возрастает в регионах с интенсивными процессами испарения. Особенно велико влияние рельефа в горной местности, где грозовые фронты преимущественно распространяются по узким коридорам, поэтому в пределах небольшой площади возможны резкие колебания плотности разрядов в землю.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В целом по территории земного шара плотность ударов молнии варьируется практически от нуля в приполярных областях до 20—30 разрядов на 1 км земли за год во влажных тропических зонах. Для одного и того же региона возможны вариации от года к году, поэтому для достоверной оценки плотности разрядов в землю необходимо многолетнее усреднение.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В настоящее время ограниченное количество пунктов земного шара оборудовано счетчиками молний, и для небольших территорий возможны непосредственные оценки плотности разрядов в землю. В массовых масштабах (например, для всей территории СССР) регистрация числа ударов молнии в землю пока невыполнима из-за трудоемкости и недостатка надежной аппаратуры.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Однако для географических пунктов, в которых установлены счетчики молний и ведутся метеорологические наблюдения за грозами, обнаружена корреляционная связь между плотностью разрядов в землю и повторяемостью или продолжительностью гроз, хотя каждый из перечисленных параметров подвержен разбросу от года к году или от грозы к грозе. В РД 34.21.122-87 эта корреляционная зависимость, представленная в приложении 2, распространена на всю территорию СССР и связывает чисто ударов нисходящей молнии в 1 км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2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земной поверхности с конкретной продолжительностью гроз в часах. 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Данные метеорологических станций о продолжительности гроз усреднены за период с 1936 по 1978 г. и в виде линий, характеризующихся постоянным числом часов с грозой в год, нанесены на географическую карту СССР (рис. 3 РД 34.21.122-87); при этом продолжительность грозы для любого пункта задается в интервале между двумя ближайшими к нему линиями.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Для некоторых областей СССР на базе инструментальных исследований составлены региональные карты продолжительности гроз, эти карты также рекомендованы к использованию (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см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. приложение 2 РД34.21.122— 87)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Таким косвенным путем (через данные о продолжительности гроз) удается ввести районирование территории СССР по плотности ударов молнии в землю.</w:t>
      </w:r>
    </w:p>
    <w:p w:rsidR="00C134A1" w:rsidRPr="00C134A1" w:rsidRDefault="00C134A1" w:rsidP="00C134A1">
      <w:pPr>
        <w:spacing w:before="120" w:after="12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778899"/>
          <w:sz w:val="26"/>
          <w:szCs w:val="26"/>
          <w:lang w:eastAsia="ru-RU"/>
        </w:rPr>
      </w:pPr>
      <w:r w:rsidRPr="00C134A1">
        <w:rPr>
          <w:rFonts w:ascii="Trebuchet MS" w:eastAsia="Times New Roman" w:hAnsi="Trebuchet MS" w:cs="Times New Roman"/>
          <w:color w:val="778899"/>
          <w:sz w:val="26"/>
          <w:szCs w:val="26"/>
          <w:lang w:eastAsia="ru-RU"/>
        </w:rPr>
        <w:t>3. КОЛИЧЕСТВО ПОРАЖЕНИЙ МОЛНИЕЙ НАЗЕМНЫХ СООРУЖЕНИЙ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Согласно требованиям табл. 1 РД 34.21.122—87 для ряда объектов ожидаемое количество поражений молнией является показателем, определяющим необходимость выполнения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молниезащиты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и ее надежность. Поэтому нужно располагать способом оценки этого значения еще на стадии проектирования объекта. Желательно, чтобы этот способ учитывал известные характеристики грозовой деятельности и другие сведения о молнии.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При подсчете числа поражений нисходящими молниями используется следующее представление: возвышающийся объект принимает на себя разряды, которые в его отсутствие поразили бы поверхность земли определенной площади (так называемую поверхность стягивания). Эта площадь имеет форму круга для сосредоточенного объекта (вертикальной трубы или башни) и форму прямоугольника для протяженного объекта, например, воздушной линии электропередачи.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lastRenderedPageBreak/>
        <w:t>Число поражений объекта равно произведению площади стягивания на плотность разрядов молнии в месте его расположения. Например, для сосредоточенного объекта</w:t>
      </w:r>
    </w:p>
    <w:p w:rsidR="00C134A1" w:rsidRPr="00C134A1" w:rsidRDefault="00C134A1" w:rsidP="00C134A1">
      <w:pPr>
        <w:spacing w:after="0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723900" cy="238125"/>
            <wp:effectExtent l="19050" t="0" r="0" b="0"/>
            <wp:docPr id="68" name="Рисунок 68" descr="http://www.manbw.ru/images/analit/io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manbw.ru/images/analit/io52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где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R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0 — радиус стягивания;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n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— среднегодовое число ударов молнии в 1 км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2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земной поверхности. Для протяженного объекта длиной </w:t>
      </w:r>
      <w:r w:rsidRPr="00C134A1">
        <w:rPr>
          <w:rFonts w:ascii="Trebuchet MS" w:eastAsia="Times New Roman" w:hAnsi="Trebuchet MS" w:cs="Times New Roman"/>
          <w:i/>
          <w:iCs/>
          <w:color w:val="292421"/>
          <w:sz w:val="20"/>
          <w:lang w:val="en-US" w:eastAsia="ru-RU"/>
        </w:rPr>
        <w:t>l</w:t>
      </w:r>
    </w:p>
    <w:p w:rsidR="00C134A1" w:rsidRPr="00C134A1" w:rsidRDefault="00C134A1" w:rsidP="00C134A1">
      <w:pPr>
        <w:spacing w:after="240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drawing>
          <wp:inline distT="0" distB="0" distL="0" distR="0">
            <wp:extent cx="695325" cy="238125"/>
            <wp:effectExtent l="19050" t="0" r="9525" b="0"/>
            <wp:docPr id="69" name="Рисунок 69" descr="http://www.manbw.ru/images/analit/io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manbw.ru/images/analit/io53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Имеющаяся статистика поражений объектов разной высоты в местностях с разной продолжительностью гроз позволила ориентировочно определить связь между радиусом стягивания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R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0 и высотой объекта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h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. Несмотря на значительный разброс, в среднем можно принять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R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0 = 3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h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Приведенные соотношения положены в основу формул расчета ожидаемого количества поражений молнией сосредоточенных объектов и объектов с заданными габаритами в приложении 2 РД 34.21.122—87.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Грозопоражаемость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объектов ставится в прямую зависимость от плотности разрядов молнии в землю и соответственно от региональной продолжительности гроз в соответствии с данными приложения 2. Можно предположить, что вероятность поражения объекта растет, 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например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с ростом амплитуды тока молнии, и зависит от других параметров разряда. Однако имеющаяся статистика поражений получена способами (фотографированием ударов молнии, регистрацией специальными счетчиками), не позволяющими выделить влияние других факторов, кроме интенсивности грозовой деятельности.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Оценим теперь по формулам приложения 2, как часто возможны поражения молнией объектов разных размеров и формы. 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Например, при средней продолжительности гроз 40—60 ч в год в сосредоточенный объект высотой 50 м (например, дымовую трубу) можно ожидать не более одного поражения за 3—4 года, а в здание высотой 20 м и размерами в плане 100х100 м (типичное по габаритам для многих видов производства) — не более одного поражения за 5 лет.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Таким образом, при умеренных размерах зданий и сооружений (высоте в пределах 20—50 м, длине и ширине примерно 100 м) поражение молнией является редким событием. Для небольших строений (с габаритами примерно 10 м) ожидаемое количество поражений молнией редко превышает 0,02 за год, а это значит, что за весь срок их службы может произойти не более одного удара молнии. По этой причине согласно РД 34.21.122—87 для некоторых небольших строений (даже при низкой огнестойкости) выполнение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молниезащиты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вообще не предусматривается или существенно упрощается.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Для сосредоточенных объектов число поражений нисходящими молниями растет в квадратичной зависимости от высоты и в районах с умеренной продолжительностью гроз при высоте объектов около 150 м составляет один-два удара за год. С сосредоточенных объектов большей высоты возбуждаются восходящие молнии, количество которых также пропорционально квадрату высоты. Такое представление о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поражаемости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высоких объектов подтверждают наблюдения, проводимые на Останкинской телевизионной башне высотой 540 м: ежегодно в нее происходит около 30 ударов молнии и более 90% из них приходится на восходящие разряды, число поражений нисходящими молниями сохраняется на уровне одного-двух в год. Таким образом, для сосредоточенных объектов высотой более 150 м количество поражений нисходящими молниями мало зависит от высоты.</w:t>
      </w:r>
    </w:p>
    <w:p w:rsidR="00C134A1" w:rsidRPr="00C134A1" w:rsidRDefault="00C134A1" w:rsidP="00C134A1">
      <w:pPr>
        <w:spacing w:before="120" w:after="12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778899"/>
          <w:sz w:val="26"/>
          <w:szCs w:val="26"/>
          <w:lang w:eastAsia="ru-RU"/>
        </w:rPr>
      </w:pPr>
      <w:r w:rsidRPr="00C134A1">
        <w:rPr>
          <w:rFonts w:ascii="Trebuchet MS" w:eastAsia="Times New Roman" w:hAnsi="Trebuchet MS" w:cs="Times New Roman"/>
          <w:color w:val="778899"/>
          <w:sz w:val="26"/>
          <w:szCs w:val="26"/>
          <w:lang w:eastAsia="ru-RU"/>
        </w:rPr>
        <w:t>4. ОПАСНЫЕ ВОЗДЕЙСТВИЯ МОЛНИИ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В перечне основных терминов (приложение 1 РД 34.21.122—87) перечислены возможные виды воздействия молнии на различные наземные объекты. В настоящем параграфе сведения об опасных воздействиях молнии изложены более подробно.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Воздействия молнии принято подразделять на две основные группы: 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lastRenderedPageBreak/>
        <w:t xml:space="preserve">первичные, вызванные прямым ударом молнии, и вторичные, индуцированные близкими ее разрядами или занесенные в объект протяженными металлическими коммуникациями. Опасность прямого удара и вторичных воздействий молнии для зданий и сооружений и находящихся в них людей или животных определяется, с одной стороны, параметрами разряда молнии, а с другой — технологическими и конструктивными характеристиками объекта (наличием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вэрыв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о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-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или пожароопасных зон, огнестойкостью строительных конструкций, видом вводимых коммуникаций, их расположением внутри объекта и т. д.). Прямой удар молнии вызывает следующие воздействия на объект: электрические, связанные с поражением людей или животных электрическим током и появлением перенапряжении на пораженных элементах. Перенапряжение пропорционально амплитуде и крутизне тока молнии, индуктивности конструкций и сопротивлению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заземлителей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, по которым ток молнии отводится в землю. Даже при выполнении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молниезащиты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прямые удары молния с большими токами и крутизной могут привести к перенапряжениям в несколько мегавольт. При отсутствии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молниезащиты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пути растекания тока молнии неконтролируемы и ее удар может создать опасность поражения током, опасные напряжения шага и прикосновения, перекрытия на другие объекты;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термические, связанные с резким выделением теплоты при прямом контакте канала молнии с содержимым объекта и при протекании через объект тока молнии. Выделяемая в канале молнии энергия определяется переносимым зарядом, длительностью вспышки и амплитудой тока молнии; и 95% случаев разрядов молнии эта энергия (в расчете на сопротивление 1 Ом) превышает 5,5 Дж, она на два-три порядка превышает минимальную энергию воспламенения большинства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газ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о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-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,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паро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- и пылевоздушных смесей, используемых в промышленности. Следовательно, в таких средах контакт с каналом молнии всегда создает опасность воспламенения (а в некоторых случаях взрыва), то же относится к случаям проплавления каналом молнии корпусов взрывоопасных наружных установок. При протекании тока молнии по тонким проводникам создается опасность их расплавления и разрыва; 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механические, обусловленные ударной волной, распространя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softHyphen/>
        <w:t>ю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softHyphen/>
        <w:t xml:space="preserve">щейся от канала молнии, и электродинамическими силами, действующими на проводники с токами молнии. Это воздействие может быть причиной, например, сплющивания тонких металлических трубок. Контакт с каналом молнии может вызвать резкое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паро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- или газообразование в некоторых материалах с последующим механическим разрушением, например, расщеплением древесины или образованием трещин в бетоне.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Вторичные проявления молнии связаны с действием на объект электромагнитного ноля близких разрядов. Обычно это поле рассматривают в виде двух составляющих: первая обусловлена перемещением зарядов в лидере и канале молнии, вторая — изменением тока молнии во времени. Эти составляющие иногда называют электростатической и электромагнитной индукцией.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Электростатическая индукция проявляется в виде перенапряжения, возникающего на металлических конструкциях объекта и зависящего от тока молнии, расстояния до места удара и сопротивления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заземлителя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. При отсутствии надлежащего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заземлителя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перенапряжение может достигать сотен киловольт и создавать опасность поражения людей и перекрытий между разными частями объекта.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Электромагнитная индукция связана с образованием в металлических контурах ЭДС, пропорциональной крутизне тока молнии и площади, охватываемой контуром. Протяженные коммуникации в современных производственных зданиях могут образовывать охватывающие большую площадь контуры, в которых возможно наведение ЭДС в несколько десятков киловольт. В местах сближения протяженных металлических конструкций, в разрывах незамкнутых контуров создается опасность перекрытий и искрений с возможным рассеянием энергии около десятых долей джоуля.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Еще одним видом опасного воздействия молнии является занос высокого потенциала по вводимым в объект коммуникациям (проводам воздушных линий электропередачи, кабелям, трубопроводам). Он представляет собой перенапряжение, возникающее на коммуникации при прямых и близких ударах молнии и распространяющееся в виде набегающей на объект волны. Опасность создается за счет возможных перекрытий с коммуникации на заземленные части объекта. Подземные коммуникации также представляют опасность, так как могут принять на себя часть растекающихся в земле токов молнии и занести их в объект.</w:t>
      </w:r>
    </w:p>
    <w:p w:rsidR="00C134A1" w:rsidRPr="00C134A1" w:rsidRDefault="00C134A1" w:rsidP="00C134A1">
      <w:pPr>
        <w:spacing w:before="120" w:after="12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778899"/>
          <w:sz w:val="26"/>
          <w:szCs w:val="26"/>
          <w:lang w:eastAsia="ru-RU"/>
        </w:rPr>
      </w:pPr>
      <w:r w:rsidRPr="00C134A1">
        <w:rPr>
          <w:rFonts w:ascii="Trebuchet MS" w:eastAsia="Times New Roman" w:hAnsi="Trebuchet MS" w:cs="Times New Roman"/>
          <w:b/>
          <w:bCs/>
          <w:color w:val="778899"/>
          <w:sz w:val="26"/>
          <w:szCs w:val="26"/>
          <w:lang w:eastAsia="ru-RU"/>
        </w:rPr>
        <w:lastRenderedPageBreak/>
        <w:t>7. ЗАЩИТНОЕ ДЕЙСТВИЕ И ЗОНЫ ЗАЩИТЫ МОЛНИЕОТВОДОВ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Ниже поясняется подход к определению зон защиты молниеотводов, построение которых осуществляется по формулам приложения 3 РД 34.21.122-87.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Защитное действие молниеотвода основано на "свойстве молнии с большей вероятностью поражать более высокие и хорошо заземленные предметы по сравнению с расположенными рядом объектами меньшей высоты. Поэтому на молниеотвод, возвышающийся над защищаемым объектом, возлагается функция перехвата молний, которые в отсутствие молниеотвода поразили бы объект. Количественно защитное действие молниеотвода определяется через вероятность прорыва — отношение числа ударов молнии в защищенный объект (числа прорывов) к общему числу ударов в молниеотвод и объект.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Существует несколько способов оценки вероятности прорыва, основанных на разных физических представлениях о процессах поражения молнией. В РД 34.21.122—87 использованы результаты расчетов по вероятностной методике, связывающей вероятность поражения молниеотвода и объекта с разбросом траекторий нисходящей молнии без учета вариаций ее токов.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Согласно принятой расчетной модели невозможно создать идеальную защиту от прямых ударов молнии, полностью исключающую прорывы на защищаемый объект. Однако на практике осуществимо взаимное расположение объекта и молниеотвода, обеспечивающее низкую вероятность прорыва, например 0,1 и 0,01, что соответствует уменьшению числа поражений объекта примерно в 10 и 100 раз по сравнению с незащищенным объектом. Для большинства современных объектов при таких уровнях защиты обеспечивается малое количество прорывов за весь срок их службы.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Выше рассматривалось производственное здание высотой 20 и размерами в плане 100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х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100 м, расположенное в местности с продолжительностью гроз 40—60 ч в год; если это здание защищено молниеотводами с вероятностью прорыва 0,1, в него можно ожидать не более одного прорыва за 50 лет. При этом не все прорывы в равной степени опасны для защищаемого объекта, например воспламенения возможны при больших токах или переносимых зарядах, которые встречаются не в каждом разряде молнии. Следовательно, на данный объект можно ожидать одно опасное воздействие за срок, заведомо превышающий 50 лет или для большинства промышленных объектов II и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III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категорий не более одного опасного воздействия за все время их существования. При вероятности прорыва 0,01 в то же здание можно ожидать не более одного прорыва за 500 лет — период, намного превышающий срок службы любого промышленного объекта. Такой высокий уровень защиты оправдан только для объектов I категории, представляющих постоянную угрозу взрыва.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Выполняя серию расчетов вероятности прорыва в окрестности молниеотвода, можно построить поверхность, являющуюся геометрическим местом положения вершин защищаемых объектов, для которых вероятность прорыва — постоянное значение. Эта поверхность является внешней границей пространства, называемого зоной защиты молниеотвода; для одиночного стрежневого молниеотвода эта граница — боковая поверхность кругового конуса, для одиночного троса — двускатная плоская поверхность.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Обычно зону защиты обозначают по максимальной вероятности прорыва, соответствующей ее внешней границе, хотя в глубине зоны вероятность прорыва существенно уменьшается.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Расчетный метод позволяет построить для стержневых и тросовых молниеотводов зону защиты с произвольным значением вероятности прорыва, т.е. для любого молниеотвода (одиночного или двойного) можно построить произвольное количество зон защиты. Однако для большинства народнохозяйственных зданий достаточный уровень защиты можно обеспечить, пользуясь двумя зонами, с вероятностью прорыва 0,1 и 0,01.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В терминах теории надежности вероятность прорыва — это параметр, характеризующий отказ молниеотвода как защитного устройства. При таком подходе двум принятым зонам защиты соответствует степень надежности 0,9 и 0,99. Эта оценка надежности справедлива при расположении объекта вблизи границы зоны защиты, например объекта в виде кольца,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соосного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со стержневым молниеотводом. У реальных же объектов (обычных зданий) на границе зоны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lastRenderedPageBreak/>
        <w:t>защиты, как правило, расположены лишь верхние элементы, а большая часть объекта помещается в глубине зоны. Оценка надежности зоны защиты по ее внешней границе приводит к чрезмерно заниженным значениям. Поэтому, чтобы учесть существующее на практике взаимное расположение молниеотводов и объектов, зонам защиты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А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и Б приписана в РД 34.21.122—87 ориентировочная степень надежности 0,995 и 0,95 соответственно.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Линейные зависимости между расчетными параметрами зон защиты типа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Б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позволяют с достаточной для практики точностью оценивать высоты молниеотводов с помощью номограмм, сокращающих объем вычислений. Такие номограммы, построенные в соответствии с формулами и обозначениями приложения 3 РД 34.21.122—87, приведены на рис. П4.1 для определения высот стержневых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С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и тросовых Т одиночных и двойных молниеотводов (разработка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Гипропрома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).</w:t>
      </w:r>
    </w:p>
    <w:p w:rsidR="00C134A1" w:rsidRPr="00C134A1" w:rsidRDefault="00C134A1" w:rsidP="00C134A1">
      <w:pPr>
        <w:spacing w:after="240" w:line="240" w:lineRule="auto"/>
        <w:jc w:val="center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lastRenderedPageBreak/>
        <w:drawing>
          <wp:inline distT="0" distB="0" distL="0" distR="0">
            <wp:extent cx="2705100" cy="6400800"/>
            <wp:effectExtent l="19050" t="0" r="0" b="0"/>
            <wp:docPr id="70" name="Рисунок 70" descr="Номограммы для определения высоты одиночных (а) и двойных равной высоты (б) молниеотводов в зоне 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Номограммы для определения высоты одиночных (а) и двойных равной высоты (б) молниеотводов в зоне Б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noProof/>
          <w:color w:val="292421"/>
          <w:sz w:val="20"/>
          <w:szCs w:val="20"/>
          <w:lang w:eastAsia="ru-RU"/>
        </w:rPr>
        <w:lastRenderedPageBreak/>
        <w:drawing>
          <wp:inline distT="0" distB="0" distL="0" distR="0">
            <wp:extent cx="2705100" cy="5638800"/>
            <wp:effectExtent l="19050" t="0" r="0" b="0"/>
            <wp:docPr id="71" name="Рисунок 71" descr="Номограммы для определения высоты одиночных (а) и двойных равной высоты (б) молниеотводов в зоне 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Номограммы для определения высоты одиночных (а) и двойных равной высоты (б) молниеотводов в зоне Б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Рис. П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4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.1. Номограммы для определения высоты одиночных (а) и двойных равной высоты (б) молниеотводов в зоне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Б</w:t>
      </w:r>
      <w:proofErr w:type="gramEnd"/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Расчетный метод вероятности прорыва разработан только для нисходящих молний, преимущественно поражающих объекты высотой до 150 м. Поэтому в РД 34.21.122 — 87 формулы для построения зон защиты одиночных и многократных стержневых и тросовых молниеотводов ограничены высотой 150 м. На сегодняшний день объем фактических данных о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поражаемости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нисходящими молниями объектов большей высоты очень мал и в большей своей части относится к Останкинской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телевизионной башне. На основании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фоторегистраций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можно утверждать, что нисходящие молнии прорываются более чем на 200 м ниже ее вершины и поражают землю на расстоянии около 200 м от основания башни. Если рассматривать Останкинскую телевизионную башню как стержневой молниеотвод, можно заключить, что относительные размеры зон защиты молниеотводов высотой более 150 м резко сокращаются с увеличением высоты молниеотводов. С учетом ограниченности фактических данных о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поражаемости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сверхвысоких объектов в РД 34.21.122 — 87 включены формулы для построения зон защиты только для стержневых молниеотводов высотой более 150 м.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Метод расчета зон защиты от поражений восходящими молниями пока не разработан. Однако по данным наблюдений известно, что восходящие разряды возбуждаются с остроконечных предметов вблизи вершины высоких сооружений и затрудняют развитие других разрядов с более низких уровней. Поэтому для таких высоких объектов, как железобетонные дымовые трубы или башни, 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предусматривается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прежде всего защита от механических разрушений бетона при возбуждении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lastRenderedPageBreak/>
        <w:t xml:space="preserve">восходящих молний, которая осуществляется путем установки стержневых или кольцевых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молниеприемников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, обеспечивающих максимально возможное по конструктивным соображениям превышение над вершиной объекта (п. 2.31).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8. ПОДХОД К НОРМИРОВАНИЮ ЗАЗЕМЛИТЕЛЕЙ МОЛНИЕЗАЩИТЫ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Ниже пояснен принятый в РД 34.21.122—87 подход к выбору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заземлителей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молниезащиты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зданий и сооружений.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Одним из эффективных способов ограничения грозовых перенапряжений в цепи молниеотвода, а также на металлических конструкциях и оборудовании объекта является обеспечение низких сопротивлений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заземлителей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. Поэтому при выборе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молниезащиты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нормированию подлежит сопротивление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заземлителя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или другие его характеристики, связанные с сопротивлением.</w:t>
      </w:r>
    </w:p>
    <w:p w:rsidR="00C134A1" w:rsidRPr="00C134A1" w:rsidRDefault="00C134A1" w:rsidP="00C134A1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До недавнего времени для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заземлителей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молниезащиты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нормировалось импульсное сопротивление растеканию токов молнии: его максимально допустимое значение было принято равным 10 Ом для зданий и сооружений I и II категорий и 20 Ом для зданий и сооружений 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val="en-US" w:eastAsia="ru-RU"/>
        </w:rPr>
        <w:t>III</w:t>
      </w: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категории. При этом допускалось увеличение импульсного сопротивления до 40 Ом в грунтах с удельным сопротивлением более 500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Ом</w:t>
      </w:r>
      <w:proofErr w:type="gram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x</w:t>
      </w:r>
      <w:proofErr w:type="gram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м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при одновременном удалении молниеотводов от объектов I категории на расстояние, гарантирующее от пробоя по воздуху и в земле. Для наружных установок максимально допустимое импульсное сопротивление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заземлителей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было принято равным 50 Ом.</w:t>
      </w:r>
    </w:p>
    <w:p w:rsidR="00183D9F" w:rsidRDefault="00C134A1" w:rsidP="00C134A1">
      <w:pPr>
        <w:spacing w:before="100" w:beforeAutospacing="1" w:after="100" w:afterAutospacing="1" w:line="240" w:lineRule="auto"/>
      </w:pPr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Импульсное сопротивление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заземлителя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является количественной характеристикой сложных физических процессов при растекании в земле токов молнии. Его значение отличается от сопротивления </w:t>
      </w:r>
      <w:proofErr w:type="spellStart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>заземлителя</w:t>
      </w:r>
      <w:proofErr w:type="spellEnd"/>
      <w:r w:rsidRPr="00C134A1">
        <w:rPr>
          <w:rFonts w:ascii="Trebuchet MS" w:eastAsia="Times New Roman" w:hAnsi="Trebuchet MS" w:cs="Times New Roman"/>
          <w:color w:val="292421"/>
          <w:sz w:val="20"/>
          <w:szCs w:val="20"/>
          <w:lang w:eastAsia="ru-RU"/>
        </w:rPr>
        <w:t xml:space="preserve"> при растекании токов промышленной частоты </w:t>
      </w:r>
    </w:p>
    <w:sectPr w:rsidR="00183D9F" w:rsidSect="0018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4A1"/>
    <w:rsid w:val="00183D9F"/>
    <w:rsid w:val="00632EA0"/>
    <w:rsid w:val="00A2182F"/>
    <w:rsid w:val="00C1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9F"/>
  </w:style>
  <w:style w:type="paragraph" w:styleId="1">
    <w:name w:val="heading 1"/>
    <w:basedOn w:val="a"/>
    <w:link w:val="10"/>
    <w:uiPriority w:val="9"/>
    <w:qFormat/>
    <w:rsid w:val="00C134A1"/>
    <w:pPr>
      <w:spacing w:before="161" w:after="16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778899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34A1"/>
    <w:pPr>
      <w:spacing w:before="199" w:after="199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778899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34A1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color w:val="778899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4A1"/>
    <w:rPr>
      <w:rFonts w:ascii="Times New Roman" w:eastAsia="Times New Roman" w:hAnsi="Times New Roman" w:cs="Times New Roman"/>
      <w:b/>
      <w:bCs/>
      <w:color w:val="778899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34A1"/>
    <w:rPr>
      <w:rFonts w:ascii="Times New Roman" w:eastAsia="Times New Roman" w:hAnsi="Times New Roman" w:cs="Times New Roman"/>
      <w:b/>
      <w:bCs/>
      <w:color w:val="778899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34A1"/>
    <w:rPr>
      <w:rFonts w:ascii="Times New Roman" w:eastAsia="Times New Roman" w:hAnsi="Times New Roman" w:cs="Times New Roman"/>
      <w:b/>
      <w:bCs/>
      <w:color w:val="778899"/>
      <w:sz w:val="31"/>
      <w:szCs w:val="31"/>
      <w:lang w:eastAsia="ru-RU"/>
    </w:rPr>
  </w:style>
  <w:style w:type="character" w:styleId="a3">
    <w:name w:val="Hyperlink"/>
    <w:basedOn w:val="a0"/>
    <w:uiPriority w:val="99"/>
    <w:semiHidden/>
    <w:unhideWhenUsed/>
    <w:rsid w:val="00C134A1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134A1"/>
    <w:rPr>
      <w:strike w:val="0"/>
      <w:dstrike w:val="0"/>
      <w:color w:val="800080"/>
      <w:u w:val="none"/>
      <w:effect w:val="none"/>
    </w:rPr>
  </w:style>
  <w:style w:type="character" w:styleId="a5">
    <w:name w:val="Strong"/>
    <w:basedOn w:val="a0"/>
    <w:uiPriority w:val="22"/>
    <w:qFormat/>
    <w:rsid w:val="00C134A1"/>
    <w:rPr>
      <w:b/>
      <w:bCs/>
    </w:rPr>
  </w:style>
  <w:style w:type="paragraph" w:customStyle="1" w:styleId="sm">
    <w:name w:val="sm"/>
    <w:basedOn w:val="a"/>
    <w:rsid w:val="00C1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offer">
    <w:name w:val="offer"/>
    <w:basedOn w:val="a"/>
    <w:rsid w:val="00C134A1"/>
    <w:pPr>
      <w:pBdr>
        <w:top w:val="single" w:sz="6" w:space="4" w:color="333366"/>
        <w:left w:val="single" w:sz="6" w:space="4" w:color="333366"/>
        <w:bottom w:val="single" w:sz="6" w:space="4" w:color="333366"/>
        <w:right w:val="single" w:sz="6" w:space="4" w:color="333366"/>
      </w:pBdr>
      <w:shd w:val="clear" w:color="auto" w:fill="FFFFFF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er2">
    <w:name w:val="offer2"/>
    <w:basedOn w:val="a"/>
    <w:rsid w:val="00C134A1"/>
    <w:pPr>
      <w:pBdr>
        <w:top w:val="single" w:sz="6" w:space="4" w:color="333366"/>
        <w:left w:val="single" w:sz="6" w:space="4" w:color="333366"/>
        <w:bottom w:val="single" w:sz="6" w:space="4" w:color="333366"/>
        <w:right w:val="single" w:sz="6" w:space="4" w:color="333366"/>
      </w:pBdr>
      <w:shd w:val="clear" w:color="auto" w:fill="FFE6C9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er3">
    <w:name w:val="offer3"/>
    <w:basedOn w:val="a"/>
    <w:rsid w:val="00C134A1"/>
    <w:pPr>
      <w:pBdr>
        <w:top w:val="dotted" w:sz="6" w:space="4" w:color="333366"/>
        <w:left w:val="dotted" w:sz="6" w:space="4" w:color="333366"/>
        <w:bottom w:val="dotted" w:sz="6" w:space="4" w:color="333366"/>
        <w:right w:val="dotted" w:sz="6" w:space="4" w:color="333366"/>
      </w:pBdr>
      <w:shd w:val="clear" w:color="auto" w:fill="F4A460"/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1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134A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1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5716">
                  <w:marLeft w:val="0"/>
                  <w:marRight w:val="0"/>
                  <w:marTop w:val="0"/>
                  <w:marBottom w:val="0"/>
                  <w:divBdr>
                    <w:top w:val="single" w:sz="6" w:space="6" w:color="708090"/>
                    <w:left w:val="single" w:sz="6" w:space="6" w:color="708090"/>
                    <w:bottom w:val="single" w:sz="6" w:space="6" w:color="708090"/>
                    <w:right w:val="single" w:sz="6" w:space="6" w:color="70809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61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11195</Words>
  <Characters>63815</Characters>
  <Application>Microsoft Office Word</Application>
  <DocSecurity>0</DocSecurity>
  <Lines>531</Lines>
  <Paragraphs>149</Paragraphs>
  <ScaleCrop>false</ScaleCrop>
  <Company/>
  <LinksUpToDate>false</LinksUpToDate>
  <CharactersWithSpaces>74861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Денис</cp:lastModifiedBy>
  <cp:revision>2</cp:revision>
  <dcterms:created xsi:type="dcterms:W3CDTF">2015-06-28T14:25:00Z</dcterms:created>
  <dcterms:modified xsi:type="dcterms:W3CDTF">2015-06-28T14:25:00Z</dcterms:modified>
</cp:coreProperties>
</file>